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DA9B8" w14:textId="77777777" w:rsidR="00E960C3" w:rsidRPr="0055426C" w:rsidRDefault="00E960C3" w:rsidP="00E960C3">
      <w:pPr>
        <w:spacing w:after="0" w:line="240" w:lineRule="auto"/>
        <w:jc w:val="both"/>
        <w:rPr>
          <w:rFonts w:ascii="Arial" w:hAnsi="Arial" w:cs="Arial"/>
          <w:sz w:val="20"/>
          <w:szCs w:val="20"/>
        </w:rPr>
      </w:pPr>
    </w:p>
    <w:p w14:paraId="60CA07AF" w14:textId="77777777" w:rsidR="0055426C" w:rsidRPr="0055426C" w:rsidRDefault="0055426C" w:rsidP="0055426C">
      <w:pPr>
        <w:spacing w:after="0" w:line="240" w:lineRule="auto"/>
        <w:jc w:val="center"/>
        <w:rPr>
          <w:rFonts w:ascii="Arial" w:hAnsi="Arial" w:cs="Arial"/>
          <w:b/>
          <w:bCs/>
          <w:sz w:val="20"/>
          <w:szCs w:val="20"/>
        </w:rPr>
      </w:pPr>
      <w:r w:rsidRPr="0055426C">
        <w:rPr>
          <w:rFonts w:ascii="Arial" w:hAnsi="Arial" w:cs="Arial"/>
          <w:b/>
          <w:bCs/>
          <w:sz w:val="20"/>
          <w:szCs w:val="20"/>
        </w:rPr>
        <w:t>REGLAMENTO MUNICIPAL PARA LA ADMINISTRACIÓN Y USO DEL ESTADIO MUNICIPAL JOSÉ JOAQUÍN “COLLEYA” FONSECA</w:t>
      </w:r>
    </w:p>
    <w:p w14:paraId="41959D37"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TÍTULO I</w:t>
      </w:r>
    </w:p>
    <w:p w14:paraId="23BD1C40"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DISPOSICIONES GENERALES</w:t>
      </w:r>
    </w:p>
    <w:p w14:paraId="28F191DA"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1.—Objeto: </w:t>
      </w:r>
      <w:r w:rsidRPr="0055426C">
        <w:rPr>
          <w:rFonts w:ascii="Arial" w:hAnsi="Arial" w:cs="Arial"/>
          <w:bCs/>
          <w:sz w:val="20"/>
          <w:szCs w:val="20"/>
        </w:rPr>
        <w:t>El presente Reglamento tiene por objeto regular la organización, administración, utilización, conservación, mantenimiento, mejoramiento, aprovechamiento, control y fiscalización del Estadio Municipal José Joaquín “Colleya” Fonseca, en adelante denominado “el Estadio”, procurando la protección del patrimonio municipal, la continuidad de su destino público, el acceso de la comunidad, el desarrollo del deporte, la recreación y los estilos de vida saludable, así como su sostenibilidad técnica, administrativa y financiera.</w:t>
      </w:r>
    </w:p>
    <w:p w14:paraId="5675206D"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2.—Ámbito de aplicación: </w:t>
      </w:r>
      <w:r w:rsidRPr="0055426C">
        <w:rPr>
          <w:rFonts w:ascii="Arial" w:hAnsi="Arial" w:cs="Arial"/>
          <w:bCs/>
          <w:sz w:val="20"/>
          <w:szCs w:val="20"/>
        </w:rPr>
        <w:t>El presente Reglamento será aplicable a los órganos y dependencias de la Municipalidad de Goicoechea dentro del ámbito de sus respectivas competencias; al Comité Cantonal de Deportes y Recreación de Goicoechea; a las organizaciones o entidades que reciban el Estadio en administración; a las personas físicas o jurídicas usuarias; a las organizaciones deportivas, comunales o sociales; a los organizadores de eventos; y a los terceros vinculados mediante permiso, autorización, convenio, contrato u otro título jurídico válido.</w:t>
      </w:r>
    </w:p>
    <w:p w14:paraId="6669D355"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3.—</w:t>
      </w:r>
      <w:proofErr w:type="gramEnd"/>
      <w:r w:rsidRPr="0055426C">
        <w:rPr>
          <w:rFonts w:ascii="Arial" w:hAnsi="Arial" w:cs="Arial"/>
          <w:b/>
          <w:bCs/>
          <w:sz w:val="20"/>
          <w:szCs w:val="20"/>
        </w:rPr>
        <w:t xml:space="preserve">Principios rectores: </w:t>
      </w:r>
      <w:r w:rsidRPr="0055426C">
        <w:rPr>
          <w:rFonts w:ascii="Arial" w:hAnsi="Arial" w:cs="Arial"/>
          <w:bCs/>
          <w:sz w:val="20"/>
          <w:szCs w:val="20"/>
        </w:rPr>
        <w:t>La interpretación y aplicación de este Reglamento se regirá por los principios de legalidad, interés público, protección del patrimonio público, continuidad del servicio, eficiencia, eficacia, transparencia, rendición de cuentas, igualdad, objetividad, razonabilidad, proporcionalidad, accesibilidad, participación comunitaria, sostenibilidad financiera, prevención de conflictos de interés, buena administración, control interno y responsabilidad.</w:t>
      </w:r>
      <w:r w:rsidRPr="0055426C">
        <w:rPr>
          <w:rFonts w:ascii="Arial" w:hAnsi="Arial" w:cs="Arial"/>
          <w:b/>
          <w:bCs/>
          <w:sz w:val="20"/>
          <w:szCs w:val="20"/>
        </w:rPr>
        <w:t xml:space="preserve"> </w:t>
      </w:r>
      <w:r w:rsidRPr="0055426C">
        <w:rPr>
          <w:rFonts w:ascii="Arial" w:hAnsi="Arial" w:cs="Arial"/>
          <w:bCs/>
          <w:sz w:val="20"/>
          <w:szCs w:val="20"/>
        </w:rPr>
        <w:t>Cuando corresponda aplicar procedimientos de contratación pública, se observarán además los principios establecidos en la Ley General de Contratación Pública y su Reglamento.</w:t>
      </w:r>
    </w:p>
    <w:p w14:paraId="04DD46A3"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4.—</w:t>
      </w:r>
      <w:proofErr w:type="gramEnd"/>
      <w:r w:rsidRPr="0055426C">
        <w:rPr>
          <w:rFonts w:ascii="Arial" w:hAnsi="Arial" w:cs="Arial"/>
          <w:b/>
          <w:bCs/>
          <w:sz w:val="20"/>
          <w:szCs w:val="20"/>
        </w:rPr>
        <w:t xml:space="preserve">Naturaleza y destino del inmueble: </w:t>
      </w:r>
      <w:r w:rsidRPr="0055426C">
        <w:rPr>
          <w:rFonts w:ascii="Arial" w:hAnsi="Arial" w:cs="Arial"/>
          <w:bCs/>
          <w:sz w:val="20"/>
          <w:szCs w:val="20"/>
        </w:rPr>
        <w:t>El Estadio constituye un inmueble municipal destinado prioritariamente al deporte, la recreación, los estilos de vida saludable y demás actividades compatibles con su afectación y con el interés público.</w:t>
      </w:r>
      <w:r w:rsidRPr="0055426C">
        <w:rPr>
          <w:rFonts w:ascii="Arial" w:hAnsi="Arial" w:cs="Arial"/>
          <w:b/>
          <w:bCs/>
          <w:sz w:val="20"/>
          <w:szCs w:val="20"/>
        </w:rPr>
        <w:t xml:space="preserve"> </w:t>
      </w:r>
      <w:r w:rsidRPr="0055426C">
        <w:rPr>
          <w:rFonts w:ascii="Arial" w:hAnsi="Arial" w:cs="Arial"/>
          <w:bCs/>
          <w:sz w:val="20"/>
          <w:szCs w:val="20"/>
        </w:rPr>
        <w:t>La administración, autorización de uso, permiso, convenio, contrato o cualquier otro instrumento jurídico relacionado con el Estadio no producirá transferencia de dominio, derecho de llave, relación de inquilinato, derecho de posesión autónomo ni derecho adquirido contrario a su naturaleza pública.</w:t>
      </w:r>
      <w:r w:rsidRPr="0055426C">
        <w:rPr>
          <w:rFonts w:ascii="Arial" w:hAnsi="Arial" w:cs="Arial"/>
          <w:b/>
          <w:bCs/>
          <w:sz w:val="20"/>
          <w:szCs w:val="20"/>
        </w:rPr>
        <w:t xml:space="preserve"> </w:t>
      </w:r>
      <w:r w:rsidRPr="0055426C">
        <w:rPr>
          <w:rFonts w:ascii="Arial" w:hAnsi="Arial" w:cs="Arial"/>
          <w:bCs/>
          <w:sz w:val="20"/>
          <w:szCs w:val="20"/>
        </w:rPr>
        <w:t>Ningún acto o instrumento podrá alterar o desnaturalizar su destino público.</w:t>
      </w:r>
    </w:p>
    <w:p w14:paraId="651E1354" w14:textId="4F0E0276"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5.—</w:t>
      </w:r>
      <w:proofErr w:type="gramEnd"/>
      <w:r w:rsidRPr="0055426C">
        <w:rPr>
          <w:rFonts w:ascii="Arial" w:hAnsi="Arial" w:cs="Arial"/>
          <w:b/>
          <w:bCs/>
          <w:sz w:val="20"/>
          <w:szCs w:val="20"/>
        </w:rPr>
        <w:t xml:space="preserve">Relación con otras normas municipales: </w:t>
      </w:r>
      <w:r w:rsidRPr="0055426C">
        <w:rPr>
          <w:rFonts w:ascii="Arial" w:hAnsi="Arial" w:cs="Arial"/>
          <w:bCs/>
          <w:sz w:val="20"/>
          <w:szCs w:val="20"/>
        </w:rPr>
        <w:t>El presente Reglamento constituye la normativa especial aplicable al Estadio Municipal José Joaquín “Colleya” Fonseca.</w:t>
      </w:r>
      <w:r w:rsidRPr="0055426C">
        <w:rPr>
          <w:rFonts w:ascii="Arial" w:hAnsi="Arial" w:cs="Arial"/>
          <w:b/>
          <w:bCs/>
          <w:sz w:val="20"/>
          <w:szCs w:val="20"/>
        </w:rPr>
        <w:t xml:space="preserve"> </w:t>
      </w:r>
      <w:r w:rsidRPr="0055426C">
        <w:rPr>
          <w:rFonts w:ascii="Arial" w:hAnsi="Arial" w:cs="Arial"/>
          <w:bCs/>
          <w:sz w:val="20"/>
          <w:szCs w:val="20"/>
        </w:rPr>
        <w:t>El Reglamento de Administración, Uso y Funcionamiento de los Inmuebles e Instalaciones Comunales, Deportivas y Parques Públicos de la Municipalidad de Goicoechea será aplicable supletoriamente en todo aquello que resulte compatible con este Reglamento y con la legislación vigente.</w:t>
      </w:r>
      <w:r w:rsidRPr="0055426C">
        <w:rPr>
          <w:rFonts w:ascii="Arial" w:hAnsi="Arial" w:cs="Arial"/>
          <w:b/>
          <w:bCs/>
          <w:sz w:val="20"/>
          <w:szCs w:val="20"/>
        </w:rPr>
        <w:t xml:space="preserve"> </w:t>
      </w:r>
      <w:r w:rsidRPr="0055426C">
        <w:rPr>
          <w:rFonts w:ascii="Arial" w:hAnsi="Arial" w:cs="Arial"/>
          <w:bCs/>
          <w:sz w:val="20"/>
          <w:szCs w:val="20"/>
        </w:rPr>
        <w:t>En caso de contradicción respecto de la administración y utilización específica del Estadio, prevalecerá este Reglamento, sin perjuicio de las normas legales de rango superior.</w:t>
      </w:r>
    </w:p>
    <w:p w14:paraId="4DD87853"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TÍTULO II</w:t>
      </w:r>
    </w:p>
    <w:p w14:paraId="048CD6D5"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COMPETENCIAS Y RESPONSABILIDADES</w:t>
      </w:r>
    </w:p>
    <w:p w14:paraId="2A1A5237"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6.—</w:t>
      </w:r>
      <w:proofErr w:type="gramEnd"/>
      <w:r w:rsidRPr="0055426C">
        <w:rPr>
          <w:rFonts w:ascii="Arial" w:hAnsi="Arial" w:cs="Arial"/>
          <w:b/>
          <w:bCs/>
          <w:sz w:val="20"/>
          <w:szCs w:val="20"/>
        </w:rPr>
        <w:t xml:space="preserve">Competencias del Concejo Municipal: </w:t>
      </w:r>
      <w:r w:rsidRPr="0055426C">
        <w:rPr>
          <w:rFonts w:ascii="Arial" w:hAnsi="Arial" w:cs="Arial"/>
          <w:bCs/>
          <w:sz w:val="20"/>
          <w:szCs w:val="20"/>
        </w:rPr>
        <w:t>Corresponde al Concejo Municipal, de conformidad con el ordenamiento jurídico:</w:t>
      </w:r>
    </w:p>
    <w:p w14:paraId="4ED0E198"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Dictar y reformar el presente Reglamento.</w:t>
      </w:r>
    </w:p>
    <w:p w14:paraId="3E6B675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Definir, cuando corresponda, el modelo general de administración del Estadio.</w:t>
      </w:r>
    </w:p>
    <w:p w14:paraId="3968A716"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Aprobar los convenios cuya celebración corresponda autorizar al Concejo Municipal.</w:t>
      </w:r>
    </w:p>
    <w:p w14:paraId="7EDEC417"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Aprobar las tarifas cuando legalmente corresponda.</w:t>
      </w:r>
    </w:p>
    <w:p w14:paraId="4315A30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Autorizar la disposición, administración o aprovechamiento del inmueble en aquellos supuestos sometidos legalmente a su competencia.</w:t>
      </w:r>
    </w:p>
    <w:p w14:paraId="301C73B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Conocer los informes que le deban ser remitidos de conformidad con este Reglamento.</w:t>
      </w:r>
    </w:p>
    <w:p w14:paraId="4E8F754A"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g) Adoptar los acuerdos de política y fiscalización política que correspondan, sin asumir funciones propias de la administración activa.</w:t>
      </w:r>
    </w:p>
    <w:p w14:paraId="70937ADC"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7.—</w:t>
      </w:r>
      <w:proofErr w:type="gramEnd"/>
      <w:r w:rsidRPr="0055426C">
        <w:rPr>
          <w:rFonts w:ascii="Arial" w:hAnsi="Arial" w:cs="Arial"/>
          <w:b/>
          <w:bCs/>
          <w:sz w:val="20"/>
          <w:szCs w:val="20"/>
        </w:rPr>
        <w:t xml:space="preserve">Competencias de la Alcaldía: </w:t>
      </w:r>
      <w:r w:rsidRPr="0055426C">
        <w:rPr>
          <w:rFonts w:ascii="Arial" w:hAnsi="Arial" w:cs="Arial"/>
          <w:bCs/>
          <w:sz w:val="20"/>
          <w:szCs w:val="20"/>
        </w:rPr>
        <w:t>Corresponde a la Alcaldía:</w:t>
      </w:r>
    </w:p>
    <w:p w14:paraId="64DD481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Ejecutar los acuerdos firmes del Concejo Municipal.</w:t>
      </w:r>
    </w:p>
    <w:p w14:paraId="1823E2CB"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Suscribir los convenios previamente aprobados cuando así corresponda.</w:t>
      </w:r>
    </w:p>
    <w:p w14:paraId="33C034F4"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Dirigir y coordinar la fiscalización administrativa del cumplimiento de este Reglamento y de los instrumentos jurídicos relacionados con el Estadio.</w:t>
      </w:r>
    </w:p>
    <w:p w14:paraId="6FBC38B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lastRenderedPageBreak/>
        <w:t>d) Designar la dependencia municipal responsable del seguimiento ordinario del inmueble.</w:t>
      </w:r>
    </w:p>
    <w:p w14:paraId="22D9FBD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Coordinar a las dependencias técnicas, jurídicas, financieras y administrativas que deban intervenir.</w:t>
      </w:r>
    </w:p>
    <w:p w14:paraId="1FA00628"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Adoptar las medidas administrativas que correspondan para proteger el inmueble ante situaciones de riesgo, deterioro o incumplimiento, respetando el debido proceso.</w:t>
      </w:r>
    </w:p>
    <w:p w14:paraId="5919013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g) Presentar al Concejo Municipal, al menos una vez al año en el mes de enero, un informe consolidado sobre la gestión del Estadio.</w:t>
      </w:r>
    </w:p>
    <w:p w14:paraId="2F4FE51C"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8.—</w:t>
      </w:r>
      <w:proofErr w:type="gramEnd"/>
      <w:r w:rsidRPr="0055426C">
        <w:rPr>
          <w:rFonts w:ascii="Arial" w:hAnsi="Arial" w:cs="Arial"/>
          <w:b/>
          <w:bCs/>
          <w:sz w:val="20"/>
          <w:szCs w:val="20"/>
        </w:rPr>
        <w:t xml:space="preserve">Comité Cantonal de Deportes y Recreación: </w:t>
      </w:r>
      <w:r w:rsidRPr="0055426C">
        <w:rPr>
          <w:rFonts w:ascii="Arial" w:hAnsi="Arial" w:cs="Arial"/>
          <w:bCs/>
          <w:sz w:val="20"/>
          <w:szCs w:val="20"/>
        </w:rPr>
        <w:t>El Comité Cantonal de Deportes y Recreación ejercerá las competencias que le atribuyen el Código Municipal, su reglamento de organización y funcionamiento y demás normativa vigente.</w:t>
      </w:r>
      <w:r w:rsidRPr="0055426C">
        <w:rPr>
          <w:rFonts w:ascii="Arial" w:hAnsi="Arial" w:cs="Arial"/>
          <w:b/>
          <w:bCs/>
          <w:sz w:val="20"/>
          <w:szCs w:val="20"/>
        </w:rPr>
        <w:t xml:space="preserve"> </w:t>
      </w:r>
      <w:r w:rsidRPr="0055426C">
        <w:rPr>
          <w:rFonts w:ascii="Arial" w:hAnsi="Arial" w:cs="Arial"/>
          <w:bCs/>
          <w:sz w:val="20"/>
          <w:szCs w:val="20"/>
        </w:rPr>
        <w:t>Cuando no sea el administrador del Estadio, deberá participar en la coordinación prevista en el artículo 180 del Código Municipal cuando se pretenda ceder la administración del inmueble a las organizaciones comprendidas en esa disposición.</w:t>
      </w:r>
      <w:r w:rsidRPr="0055426C">
        <w:rPr>
          <w:rFonts w:ascii="Arial" w:hAnsi="Arial" w:cs="Arial"/>
          <w:b/>
          <w:bCs/>
          <w:sz w:val="20"/>
          <w:szCs w:val="20"/>
        </w:rPr>
        <w:t xml:space="preserve"> </w:t>
      </w:r>
      <w:r w:rsidRPr="0055426C">
        <w:rPr>
          <w:rFonts w:ascii="Arial" w:hAnsi="Arial" w:cs="Arial"/>
          <w:bCs/>
          <w:sz w:val="20"/>
          <w:szCs w:val="20"/>
        </w:rPr>
        <w:t>Asimismo, emitirá criterio técnico cuando resulte necesario para determinar la compatibilidad de las actividades propuestas con la planificación deportiva, recreativa y de estilos de vida saludable del cantón.</w:t>
      </w:r>
    </w:p>
    <w:p w14:paraId="27152602"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9.—</w:t>
      </w:r>
      <w:proofErr w:type="gramEnd"/>
      <w:r w:rsidRPr="0055426C">
        <w:rPr>
          <w:rFonts w:ascii="Arial" w:hAnsi="Arial" w:cs="Arial"/>
          <w:b/>
          <w:bCs/>
          <w:sz w:val="20"/>
          <w:szCs w:val="20"/>
        </w:rPr>
        <w:t xml:space="preserve">Dependencias municipales: </w:t>
      </w:r>
      <w:r w:rsidRPr="0055426C">
        <w:rPr>
          <w:rFonts w:ascii="Arial" w:hAnsi="Arial" w:cs="Arial"/>
          <w:bCs/>
          <w:sz w:val="20"/>
          <w:szCs w:val="20"/>
        </w:rPr>
        <w:t>Las dependencias municipales actuarán exclusivamente dentro de sus competencias.</w:t>
      </w:r>
      <w:r w:rsidRPr="0055426C">
        <w:rPr>
          <w:rFonts w:ascii="Arial" w:hAnsi="Arial" w:cs="Arial"/>
          <w:b/>
          <w:bCs/>
          <w:sz w:val="20"/>
          <w:szCs w:val="20"/>
        </w:rPr>
        <w:t xml:space="preserve"> </w:t>
      </w:r>
      <w:r w:rsidRPr="0055426C">
        <w:rPr>
          <w:rFonts w:ascii="Arial" w:hAnsi="Arial" w:cs="Arial"/>
          <w:bCs/>
          <w:sz w:val="20"/>
          <w:szCs w:val="20"/>
        </w:rPr>
        <w:t>La Dirección Jurídica asesorará sobre la figura jurídica aplicable y elaborará o revisará los instrumentos jurídicos correspondientes.</w:t>
      </w:r>
      <w:r w:rsidRPr="0055426C">
        <w:rPr>
          <w:rFonts w:ascii="Arial" w:hAnsi="Arial" w:cs="Arial"/>
          <w:b/>
          <w:bCs/>
          <w:sz w:val="20"/>
          <w:szCs w:val="20"/>
        </w:rPr>
        <w:t xml:space="preserve"> </w:t>
      </w:r>
      <w:r w:rsidRPr="0055426C">
        <w:rPr>
          <w:rFonts w:ascii="Arial" w:hAnsi="Arial" w:cs="Arial"/>
          <w:bCs/>
          <w:sz w:val="20"/>
          <w:szCs w:val="20"/>
        </w:rPr>
        <w:t>Las dependencias técnicas competentes fiscalizarán las obras, mantenimiento, seguridad estructural, inventarios y demás materias de su especialidad.</w:t>
      </w:r>
      <w:r w:rsidRPr="0055426C">
        <w:rPr>
          <w:rFonts w:ascii="Arial" w:hAnsi="Arial" w:cs="Arial"/>
          <w:b/>
          <w:bCs/>
          <w:sz w:val="20"/>
          <w:szCs w:val="20"/>
        </w:rPr>
        <w:t xml:space="preserve"> </w:t>
      </w:r>
      <w:r w:rsidRPr="0055426C">
        <w:rPr>
          <w:rFonts w:ascii="Arial" w:hAnsi="Arial" w:cs="Arial"/>
          <w:bCs/>
          <w:sz w:val="20"/>
          <w:szCs w:val="20"/>
        </w:rPr>
        <w:t>Las dependencias financieras ejercerán las funciones que correspondan respecto de recursos municipales y los mecanismos de control que resulten legalmente procedentes.</w:t>
      </w:r>
    </w:p>
    <w:p w14:paraId="715FF576"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10.—</w:t>
      </w:r>
      <w:proofErr w:type="gramEnd"/>
      <w:r w:rsidRPr="0055426C">
        <w:rPr>
          <w:rFonts w:ascii="Arial" w:hAnsi="Arial" w:cs="Arial"/>
          <w:b/>
          <w:bCs/>
          <w:sz w:val="20"/>
          <w:szCs w:val="20"/>
        </w:rPr>
        <w:t xml:space="preserve">Auditoría Interna: </w:t>
      </w:r>
      <w:r w:rsidRPr="0055426C">
        <w:rPr>
          <w:rFonts w:ascii="Arial" w:hAnsi="Arial" w:cs="Arial"/>
          <w:bCs/>
          <w:sz w:val="20"/>
          <w:szCs w:val="20"/>
        </w:rPr>
        <w:t>La Auditoría Interna ejercerá sus competencias con independencia funcional y de criterio, de conformidad con la Ley General de Control Interno y demás normativa aplicable.</w:t>
      </w:r>
      <w:r w:rsidRPr="0055426C">
        <w:rPr>
          <w:rFonts w:ascii="Arial" w:hAnsi="Arial" w:cs="Arial"/>
          <w:b/>
          <w:bCs/>
          <w:sz w:val="20"/>
          <w:szCs w:val="20"/>
        </w:rPr>
        <w:t xml:space="preserve"> </w:t>
      </w:r>
      <w:r w:rsidRPr="0055426C">
        <w:rPr>
          <w:rFonts w:ascii="Arial" w:hAnsi="Arial" w:cs="Arial"/>
          <w:bCs/>
          <w:sz w:val="20"/>
          <w:szCs w:val="20"/>
        </w:rPr>
        <w:t>Ninguna disposición de este Reglamento podrá interpretarse en el sentido de imponerle funciones propias de la administración activa, autorización previa de actos administrativos o contractuales, certificación obligatoria para la celebración o renovación de convenios. La información relacionada con la administración del Estadio estará a disposición de la Auditoría Interna cuando esta la requiera en ejercicio de sus competencias.</w:t>
      </w:r>
    </w:p>
    <w:p w14:paraId="0958AECD"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11.—</w:t>
      </w:r>
      <w:proofErr w:type="gramEnd"/>
      <w:r w:rsidRPr="0055426C">
        <w:rPr>
          <w:rFonts w:ascii="Arial" w:hAnsi="Arial" w:cs="Arial"/>
          <w:b/>
          <w:bCs/>
          <w:sz w:val="20"/>
          <w:szCs w:val="20"/>
        </w:rPr>
        <w:t xml:space="preserve">Seguimiento administrativo: </w:t>
      </w:r>
      <w:r w:rsidRPr="0055426C">
        <w:rPr>
          <w:rFonts w:ascii="Arial" w:hAnsi="Arial" w:cs="Arial"/>
          <w:bCs/>
          <w:sz w:val="20"/>
          <w:szCs w:val="20"/>
        </w:rPr>
        <w:t>La Alcaldía podrá constituir un equipo técnico de seguimiento integrado por las dependencias municipales que resulten competentes.</w:t>
      </w:r>
      <w:r w:rsidRPr="0055426C">
        <w:rPr>
          <w:rFonts w:ascii="Arial" w:hAnsi="Arial" w:cs="Arial"/>
          <w:b/>
          <w:bCs/>
          <w:sz w:val="20"/>
          <w:szCs w:val="20"/>
        </w:rPr>
        <w:t xml:space="preserve"> </w:t>
      </w:r>
      <w:r w:rsidRPr="0055426C">
        <w:rPr>
          <w:rFonts w:ascii="Arial" w:hAnsi="Arial" w:cs="Arial"/>
          <w:bCs/>
          <w:sz w:val="20"/>
          <w:szCs w:val="20"/>
        </w:rPr>
        <w:t>Este equipo tendrá funciones exclusivamente técnicas, administrativas y asesoras y podrá:</w:t>
      </w:r>
    </w:p>
    <w:p w14:paraId="2A369690"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Revisar informes de gestión.</w:t>
      </w:r>
    </w:p>
    <w:p w14:paraId="0B3ACC9C"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Dar seguimiento a planes de mantenimiento.</w:t>
      </w:r>
    </w:p>
    <w:p w14:paraId="69C83C4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Verificar indicadores de desempeño.</w:t>
      </w:r>
    </w:p>
    <w:p w14:paraId="41BD9E87"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Recomendar medidas correctivas.</w:t>
      </w:r>
    </w:p>
    <w:p w14:paraId="22776B00"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Revisar inventarios.</w:t>
      </w:r>
    </w:p>
    <w:p w14:paraId="5A509D30"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Dar seguimiento al cumplimiento de los convenios y contratos.</w:t>
      </w:r>
    </w:p>
    <w:p w14:paraId="61AB317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g) Informar a la Alcaldía sobre riesgos o incumplimientos.</w:t>
      </w:r>
    </w:p>
    <w:p w14:paraId="7F96C706"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No podrá ordenar actuaciones a la Auditoría Interna ni ejercer potestades reservadas al Concejo Municipal, a la Alcaldía o a otros órganos legalmente competentes.</w:t>
      </w:r>
    </w:p>
    <w:p w14:paraId="565E34FA"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TÍTULO III</w:t>
      </w:r>
    </w:p>
    <w:p w14:paraId="77234823"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FORMAS DE ADMINISTRACIÓN DEL ESTADIO</w:t>
      </w:r>
    </w:p>
    <w:p w14:paraId="1F936772"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12.—</w:t>
      </w:r>
      <w:proofErr w:type="gramEnd"/>
      <w:r w:rsidRPr="0055426C">
        <w:rPr>
          <w:rFonts w:ascii="Arial" w:hAnsi="Arial" w:cs="Arial"/>
          <w:b/>
          <w:bCs/>
          <w:sz w:val="20"/>
          <w:szCs w:val="20"/>
        </w:rPr>
        <w:t xml:space="preserve">Modalidades generales: </w:t>
      </w:r>
      <w:r w:rsidRPr="0055426C">
        <w:rPr>
          <w:rFonts w:ascii="Arial" w:hAnsi="Arial" w:cs="Arial"/>
          <w:bCs/>
          <w:sz w:val="20"/>
          <w:szCs w:val="20"/>
        </w:rPr>
        <w:t>La administración del Estadio podrá desarrollarse mediante alguna de las siguientes modalidades:</w:t>
      </w:r>
    </w:p>
    <w:p w14:paraId="74F4364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Administración municipal directa.</w:t>
      </w:r>
    </w:p>
    <w:p w14:paraId="57D37F5C"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Administración por el Comité Cantonal de Deportes y Recreación.</w:t>
      </w:r>
    </w:p>
    <w:p w14:paraId="67C9DB8A"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Administración mediante convenio especial conforme al artículo 180 del Código Municipal.</w:t>
      </w:r>
    </w:p>
    <w:p w14:paraId="45F82548"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Administración de áreas específicas mediante convenio autorizado conforme al régimen general municipal de administración de bienes inmuebles, cuando resulte jurídicamente procedente.</w:t>
      </w:r>
    </w:p>
    <w:p w14:paraId="5BBB276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Administración o gestión mediante relación contractual sometida a la Ley General de Contratación Pública.</w:t>
      </w:r>
    </w:p>
    <w:p w14:paraId="35E46C7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Gestión mixta o esquema de colaboración público-privada, mediante el instrumento jurídico que corresponda según la naturaleza sustancial de la relación.</w:t>
      </w:r>
    </w:p>
    <w:p w14:paraId="17230D32"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lastRenderedPageBreak/>
        <w:t>La denominación utilizada por las partes no determinará el régimen jurídico. La figura aplicable se establecerá atendiendo al objeto, sujetos, obligaciones, contraprestaciones, distribución de riesgos, explotación económica, duración y demás características materiales de la relación.</w:t>
      </w:r>
    </w:p>
    <w:p w14:paraId="36BDEE76"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13.—</w:t>
      </w:r>
      <w:proofErr w:type="gramEnd"/>
      <w:r w:rsidRPr="0055426C">
        <w:rPr>
          <w:rFonts w:ascii="Arial" w:hAnsi="Arial" w:cs="Arial"/>
          <w:b/>
          <w:bCs/>
          <w:sz w:val="20"/>
          <w:szCs w:val="20"/>
        </w:rPr>
        <w:t xml:space="preserve">Administración directa: </w:t>
      </w:r>
      <w:r w:rsidRPr="0055426C">
        <w:rPr>
          <w:rFonts w:ascii="Arial" w:hAnsi="Arial" w:cs="Arial"/>
          <w:bCs/>
          <w:sz w:val="20"/>
          <w:szCs w:val="20"/>
        </w:rPr>
        <w:t>La Municipalidad podrá administrar directamente el Estadio mediante sus dependencias.</w:t>
      </w:r>
      <w:r w:rsidRPr="0055426C">
        <w:rPr>
          <w:rFonts w:ascii="Arial" w:hAnsi="Arial" w:cs="Arial"/>
          <w:b/>
          <w:bCs/>
          <w:sz w:val="20"/>
          <w:szCs w:val="20"/>
        </w:rPr>
        <w:t xml:space="preserve"> </w:t>
      </w:r>
      <w:r w:rsidRPr="0055426C">
        <w:rPr>
          <w:rFonts w:ascii="Arial" w:hAnsi="Arial" w:cs="Arial"/>
          <w:bCs/>
          <w:sz w:val="20"/>
          <w:szCs w:val="20"/>
        </w:rPr>
        <w:t>En este supuesto deberán determinarse claramente las unidades responsables de operación, mantenimiento, programación, seguridad, recaudación, contratación y control.</w:t>
      </w:r>
      <w:r w:rsidRPr="0055426C">
        <w:rPr>
          <w:rFonts w:ascii="Arial" w:hAnsi="Arial" w:cs="Arial"/>
          <w:b/>
          <w:bCs/>
          <w:sz w:val="20"/>
          <w:szCs w:val="20"/>
        </w:rPr>
        <w:t xml:space="preserve"> </w:t>
      </w:r>
      <w:r w:rsidRPr="0055426C">
        <w:rPr>
          <w:rFonts w:ascii="Arial" w:hAnsi="Arial" w:cs="Arial"/>
          <w:bCs/>
          <w:sz w:val="20"/>
          <w:szCs w:val="20"/>
        </w:rPr>
        <w:t>Los ingresos y egresos serán administrados de conformidad con el régimen presupuestario, financiero, contable y de contratación pública aplicable a la Municipalidad.</w:t>
      </w:r>
    </w:p>
    <w:p w14:paraId="2F7200A8"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14.—Administración por el Comité Cantonal: </w:t>
      </w:r>
      <w:r w:rsidRPr="0055426C">
        <w:rPr>
          <w:rFonts w:ascii="Arial" w:hAnsi="Arial" w:cs="Arial"/>
          <w:bCs/>
          <w:sz w:val="20"/>
          <w:szCs w:val="20"/>
        </w:rPr>
        <w:t>La Municipalidad podrá ceder mediante convenio la administración del Estadio al Comité Cantonal de Deportes y Recreación, conforme al artículo 180 del Código Municipal.</w:t>
      </w:r>
      <w:r w:rsidRPr="0055426C">
        <w:rPr>
          <w:rFonts w:ascii="Arial" w:hAnsi="Arial" w:cs="Arial"/>
          <w:b/>
          <w:bCs/>
          <w:sz w:val="20"/>
          <w:szCs w:val="20"/>
        </w:rPr>
        <w:t xml:space="preserve"> </w:t>
      </w:r>
      <w:r w:rsidRPr="0055426C">
        <w:rPr>
          <w:rFonts w:ascii="Arial" w:hAnsi="Arial" w:cs="Arial"/>
          <w:bCs/>
          <w:sz w:val="20"/>
          <w:szCs w:val="20"/>
        </w:rPr>
        <w:t>El convenio deberá regular, como mínimo:</w:t>
      </w:r>
    </w:p>
    <w:p w14:paraId="438FF410"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Plazo.</w:t>
      </w:r>
    </w:p>
    <w:p w14:paraId="0492EB26"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Inventario inicial.</w:t>
      </w:r>
    </w:p>
    <w:p w14:paraId="1353C26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Estado del inmueble.</w:t>
      </w:r>
    </w:p>
    <w:p w14:paraId="0F55F311"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Plan de administración.</w:t>
      </w:r>
    </w:p>
    <w:p w14:paraId="6F5A7A2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Plan de mantenimiento.</w:t>
      </w:r>
    </w:p>
    <w:p w14:paraId="7D0C7BE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Régimen de ingresos y egresos.</w:t>
      </w:r>
    </w:p>
    <w:p w14:paraId="62FB7D54"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g) Programación deportiva y comunitaria.</w:t>
      </w:r>
    </w:p>
    <w:p w14:paraId="6503E2F2"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h) Inversiones y mejoras.</w:t>
      </w:r>
    </w:p>
    <w:p w14:paraId="6126392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i) Seguros y responsabilidades.</w:t>
      </w:r>
    </w:p>
    <w:p w14:paraId="126C5655"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j) Fiscalización.</w:t>
      </w:r>
    </w:p>
    <w:p w14:paraId="6138AC54"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k) Indicadores de desempeño.</w:t>
      </w:r>
    </w:p>
    <w:p w14:paraId="56380E3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 Causales y procedimiento de terminación.</w:t>
      </w:r>
    </w:p>
    <w:p w14:paraId="3F867647"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m) Entrega y reversión del inmueble.</w:t>
      </w:r>
    </w:p>
    <w:p w14:paraId="247445E8"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Los recursos obtenidos por el Comité se destinarán conforme a las finalidades establecidas en el Código Municipal.</w:t>
      </w:r>
    </w:p>
    <w:p w14:paraId="1BAA8D08"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15.—</w:t>
      </w:r>
      <w:proofErr w:type="gramEnd"/>
      <w:r w:rsidRPr="0055426C">
        <w:rPr>
          <w:rFonts w:ascii="Arial" w:hAnsi="Arial" w:cs="Arial"/>
          <w:b/>
          <w:bCs/>
          <w:sz w:val="20"/>
          <w:szCs w:val="20"/>
        </w:rPr>
        <w:t xml:space="preserve">Convenio especial con organizaciones comunales y asociaciones: </w:t>
      </w:r>
      <w:r w:rsidRPr="0055426C">
        <w:rPr>
          <w:rFonts w:ascii="Arial" w:hAnsi="Arial" w:cs="Arial"/>
          <w:bCs/>
          <w:sz w:val="20"/>
          <w:szCs w:val="20"/>
        </w:rPr>
        <w:t>La Municipalidad, en coordinación con el Comité Cantonal de Deportes y Recreación, podrá ceder la administración del Estadio o de áreas determinadas de este a:</w:t>
      </w:r>
    </w:p>
    <w:p w14:paraId="78F124C6"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 xml:space="preserve">a) Organizaciones de desarrollo comunal constituidas conforme a la Ley </w:t>
      </w:r>
      <w:proofErr w:type="spellStart"/>
      <w:r w:rsidRPr="0055426C">
        <w:rPr>
          <w:rFonts w:ascii="Arial" w:hAnsi="Arial" w:cs="Arial"/>
          <w:bCs/>
          <w:sz w:val="20"/>
          <w:szCs w:val="20"/>
        </w:rPr>
        <w:t>N.°</w:t>
      </w:r>
      <w:proofErr w:type="spellEnd"/>
      <w:r w:rsidRPr="0055426C">
        <w:rPr>
          <w:rFonts w:ascii="Arial" w:hAnsi="Arial" w:cs="Arial"/>
          <w:bCs/>
          <w:sz w:val="20"/>
          <w:szCs w:val="20"/>
        </w:rPr>
        <w:t xml:space="preserve"> 3859 y sus reformas.</w:t>
      </w:r>
    </w:p>
    <w:p w14:paraId="561CBAF6"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 xml:space="preserve">b) Asociaciones constituidas conforme a la Ley </w:t>
      </w:r>
      <w:proofErr w:type="spellStart"/>
      <w:r w:rsidRPr="0055426C">
        <w:rPr>
          <w:rFonts w:ascii="Arial" w:hAnsi="Arial" w:cs="Arial"/>
          <w:bCs/>
          <w:sz w:val="20"/>
          <w:szCs w:val="20"/>
        </w:rPr>
        <w:t>N.°</w:t>
      </w:r>
      <w:proofErr w:type="spellEnd"/>
      <w:r w:rsidRPr="0055426C">
        <w:rPr>
          <w:rFonts w:ascii="Arial" w:hAnsi="Arial" w:cs="Arial"/>
          <w:bCs/>
          <w:sz w:val="20"/>
          <w:szCs w:val="20"/>
        </w:rPr>
        <w:t xml:space="preserve"> 218 y sus reformas.</w:t>
      </w:r>
    </w:p>
    <w:p w14:paraId="273D531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cesión se formalizará mediante convenio y requerirá aprobación del Concejo Municipal.</w:t>
      </w:r>
    </w:p>
    <w:p w14:paraId="76A9B6DA"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Deberá acreditarse, como mínimo:</w:t>
      </w:r>
    </w:p>
    <w:p w14:paraId="67D8C20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Solicitud expresa de la organización.</w:t>
      </w:r>
    </w:p>
    <w:p w14:paraId="01996C7B"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Personería jurídica vigente.</w:t>
      </w:r>
    </w:p>
    <w:p w14:paraId="75E3528B"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Que el área se encuentre dentro de la circunscripción territorial de la organización cuando dicho requisito resulte legalmente aplicable.</w:t>
      </w:r>
    </w:p>
    <w:p w14:paraId="2CE2909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Compromiso de asumir el mantenimiento y las mejoras correspondientes.</w:t>
      </w:r>
    </w:p>
    <w:p w14:paraId="0AD2AEA1"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Capacidad técnica, administrativa y financiera.</w:t>
      </w:r>
    </w:p>
    <w:p w14:paraId="4F8216E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Proyecto de administración y uso.</w:t>
      </w:r>
    </w:p>
    <w:p w14:paraId="4CB66407"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g) Plan de mantenimiento y mejoras.</w:t>
      </w:r>
    </w:p>
    <w:p w14:paraId="0C2849E5"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h) Mecanismos de rendición de cuentas.</w:t>
      </w:r>
    </w:p>
    <w:p w14:paraId="00A79882"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i) Coordinación documentada con el Comité Cantonal de Deportes y Recreación.</w:t>
      </w:r>
    </w:p>
    <w:p w14:paraId="38925D30"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 xml:space="preserve">Cuando una asociación deportiva se encuentre constituida jurídicamente como asociación al amparo de la Ley </w:t>
      </w:r>
      <w:proofErr w:type="spellStart"/>
      <w:r w:rsidRPr="0055426C">
        <w:rPr>
          <w:rFonts w:ascii="Arial" w:hAnsi="Arial" w:cs="Arial"/>
          <w:bCs/>
          <w:sz w:val="20"/>
          <w:szCs w:val="20"/>
        </w:rPr>
        <w:t>N.°</w:t>
      </w:r>
      <w:proofErr w:type="spellEnd"/>
      <w:r w:rsidRPr="0055426C">
        <w:rPr>
          <w:rFonts w:ascii="Arial" w:hAnsi="Arial" w:cs="Arial"/>
          <w:bCs/>
          <w:sz w:val="20"/>
          <w:szCs w:val="20"/>
        </w:rPr>
        <w:t xml:space="preserve"> 218, podrá utilizar esta modalidad, sin perjuicio de las inscripciones o requisitos que le resulten exigibles conforme a la legislación deportiva.</w:t>
      </w:r>
    </w:p>
    <w:p w14:paraId="620DC97C"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Administración deberá justificar expresamente en el expediente la procedencia de la figura convencional.</w:t>
      </w:r>
    </w:p>
    <w:p w14:paraId="45F7978D"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16.—Convenios para la administración de instalaciones municipales asociadas: </w:t>
      </w:r>
      <w:r w:rsidRPr="0055426C">
        <w:rPr>
          <w:rFonts w:ascii="Arial" w:hAnsi="Arial" w:cs="Arial"/>
          <w:bCs/>
          <w:sz w:val="20"/>
          <w:szCs w:val="20"/>
        </w:rPr>
        <w:t>Las instalaciones, edificaciones, locales, áreas comunales u otros espacios municipales ubicados dentro del complejo del Estadio o funcionalmente asociados a este, pero que no formen parte de la administración integral de la infraestructura deportiva principal, podrán ser otorgados en administración mediante convenio cuando así resulte jurídicamente procedente conforme al Reglamento de Administración, Uso y Funcionamiento de los Inmuebles e Instalaciones Comunales, Deportivas y Parques Públicos de la Municipalidad de Goicoechea.</w:t>
      </w:r>
      <w:r w:rsidRPr="0055426C">
        <w:rPr>
          <w:rFonts w:ascii="Arial" w:hAnsi="Arial" w:cs="Arial"/>
          <w:b/>
          <w:bCs/>
          <w:sz w:val="20"/>
          <w:szCs w:val="20"/>
        </w:rPr>
        <w:t xml:space="preserve"> </w:t>
      </w:r>
      <w:r w:rsidRPr="0055426C">
        <w:rPr>
          <w:rFonts w:ascii="Arial" w:hAnsi="Arial" w:cs="Arial"/>
          <w:bCs/>
          <w:sz w:val="20"/>
          <w:szCs w:val="20"/>
        </w:rPr>
        <w:t>Para la utilización de esta modalidad deberán cumplirse, al menos, las siguientes condiciones:</w:t>
      </w:r>
    </w:p>
    <w:p w14:paraId="467DDF94"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lastRenderedPageBreak/>
        <w:t>a) Que la organización interesada se encuentre comprendida entre los sujetos legitimados por el Reglamento municipal general antes indicado.</w:t>
      </w:r>
    </w:p>
    <w:p w14:paraId="65F7050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Que la instalación o espacio objeto del convenio se encuentre debidamente identificado y delimitado, de manera que su administración no implique, directa ni indirectamente, la transferencia de la administración integral del Estadio.</w:t>
      </w:r>
    </w:p>
    <w:p w14:paraId="5089F78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Que la finalidad propuesta sea compatible con la naturaleza, destino y afectación pública del inmueble y guarde relación con fines comunales, sociales, deportivos, recreativos, culturales o de interés público.</w:t>
      </w:r>
    </w:p>
    <w:p w14:paraId="57EAB3AA"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Que exista un interés público o comunitario debidamente acreditado.</w:t>
      </w:r>
    </w:p>
    <w:p w14:paraId="61FB599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Que el convenio no constituya, por su contenido material, un mecanismo para contratar bienes o servicios, otorgar una explotación comercial exclusiva, obtener una prestación onerosa de un operador económico o eludir un procedimiento de contratación pública.</w:t>
      </w:r>
    </w:p>
    <w:p w14:paraId="02AA12F0"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Que la organización administradora asuma las obligaciones de mantenimiento, conservación, vigilancia, rendición de cuentas y demás responsabilidades que establezcan el Reglamento municipal general, el presente Reglamento y el respectivo convenio.</w:t>
      </w:r>
    </w:p>
    <w:p w14:paraId="51A5436C"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g) Que los recursos que se generen por la utilización de la instalación sean administrados y destinados conforme al régimen jurídico aplicable, con registros contables separados y mecanismos adecuados de fiscalización.</w:t>
      </w:r>
    </w:p>
    <w:p w14:paraId="4C1875F4"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h) Que el convenio establezca expresamente la coordinación necesaria con la Administración del Estadio, a fin de garantizar que el uso de la instalación asociada no interfiera con la programación deportiva, la seguridad, el acceso público ni la operación general del complejo.</w:t>
      </w:r>
    </w:p>
    <w:p w14:paraId="6171FBD0"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administración otorgada al amparo de este artículo se limitará exclusivamente al espacio o instalación expresamente individualizado en el convenio y no conferirá derecho alguno sobre la administración general del Estadio ni sobre otras áreas no comprendidas en dicho instrumento.</w:t>
      </w:r>
    </w:p>
    <w:p w14:paraId="6CD64329"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17.—</w:t>
      </w:r>
      <w:proofErr w:type="gramEnd"/>
      <w:r w:rsidRPr="0055426C">
        <w:rPr>
          <w:rFonts w:ascii="Arial" w:hAnsi="Arial" w:cs="Arial"/>
          <w:b/>
          <w:bCs/>
          <w:sz w:val="20"/>
          <w:szCs w:val="20"/>
        </w:rPr>
        <w:t xml:space="preserve">Entidades públicas: </w:t>
      </w:r>
      <w:r w:rsidRPr="0055426C">
        <w:rPr>
          <w:rFonts w:ascii="Arial" w:hAnsi="Arial" w:cs="Arial"/>
          <w:bCs/>
          <w:sz w:val="20"/>
          <w:szCs w:val="20"/>
        </w:rPr>
        <w:t>La Municipalidad podrá establecer relaciones de cooperación con otras entidades públicas mediante convenio cuando exista competencia concurrente o complementaria, finalidad pública común y obligaciones compatibles con el régimen jurídico de cooperación interadministrativa.</w:t>
      </w:r>
      <w:r w:rsidRPr="0055426C">
        <w:rPr>
          <w:rFonts w:ascii="Arial" w:hAnsi="Arial" w:cs="Arial"/>
          <w:b/>
          <w:bCs/>
          <w:sz w:val="20"/>
          <w:szCs w:val="20"/>
        </w:rPr>
        <w:t xml:space="preserve"> </w:t>
      </w:r>
      <w:r w:rsidRPr="0055426C">
        <w:rPr>
          <w:rFonts w:ascii="Arial" w:hAnsi="Arial" w:cs="Arial"/>
          <w:bCs/>
          <w:sz w:val="20"/>
          <w:szCs w:val="20"/>
        </w:rPr>
        <w:t>Cuando la relación constituya en sustancia una prestación contractual a cambio de precio o contraprestación, se aplicará el régimen contractual que corresponda.</w:t>
      </w:r>
    </w:p>
    <w:p w14:paraId="72DB6B9C"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18.—</w:t>
      </w:r>
      <w:proofErr w:type="gramEnd"/>
      <w:r w:rsidRPr="0055426C">
        <w:rPr>
          <w:rFonts w:ascii="Arial" w:hAnsi="Arial" w:cs="Arial"/>
          <w:b/>
          <w:bCs/>
          <w:sz w:val="20"/>
          <w:szCs w:val="20"/>
        </w:rPr>
        <w:t xml:space="preserve">Operadores privados con fines lucrativos: </w:t>
      </w:r>
      <w:r w:rsidRPr="0055426C">
        <w:rPr>
          <w:rFonts w:ascii="Arial" w:hAnsi="Arial" w:cs="Arial"/>
          <w:bCs/>
          <w:sz w:val="20"/>
          <w:szCs w:val="20"/>
        </w:rPr>
        <w:t>Las sociedades mercantiles, empresas, operadores económicos o personas privadas cuya participación tenga por objeto principal la obtención de una explotación económica del Estadio no podrán recibir su administración mediante un convenio de cooperación fundado exclusivamente en este Reglamento.</w:t>
      </w:r>
      <w:r w:rsidRPr="0055426C">
        <w:rPr>
          <w:rFonts w:ascii="Arial" w:hAnsi="Arial" w:cs="Arial"/>
          <w:b/>
          <w:bCs/>
          <w:sz w:val="20"/>
          <w:szCs w:val="20"/>
        </w:rPr>
        <w:t xml:space="preserve"> </w:t>
      </w:r>
      <w:r w:rsidRPr="0055426C">
        <w:rPr>
          <w:rFonts w:ascii="Arial" w:hAnsi="Arial" w:cs="Arial"/>
          <w:bCs/>
          <w:sz w:val="20"/>
          <w:szCs w:val="20"/>
        </w:rPr>
        <w:t>Su participación deberá estructurarse mediante el procedimiento y título jurídico que corresponda conforme a la Ley General de Contratación Pública, la legislación sobre bienes públicos y demás normativa aplicable.</w:t>
      </w:r>
    </w:p>
    <w:p w14:paraId="66BC3947"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19.—</w:t>
      </w:r>
      <w:proofErr w:type="gramEnd"/>
      <w:r w:rsidRPr="0055426C">
        <w:rPr>
          <w:rFonts w:ascii="Arial" w:hAnsi="Arial" w:cs="Arial"/>
          <w:b/>
          <w:bCs/>
          <w:sz w:val="20"/>
          <w:szCs w:val="20"/>
        </w:rPr>
        <w:t xml:space="preserve">Gestión mixta y alianzas público-privadas: </w:t>
      </w:r>
      <w:r w:rsidRPr="0055426C">
        <w:rPr>
          <w:rFonts w:ascii="Arial" w:hAnsi="Arial" w:cs="Arial"/>
          <w:bCs/>
          <w:sz w:val="20"/>
          <w:szCs w:val="20"/>
        </w:rPr>
        <w:t>La Municipalidad podrá estructurar modelos de gestión mixta o de colaboración público-privada para el Estadio cuando exista una justificación técnica, jurídica, económica y de interés público.</w:t>
      </w:r>
    </w:p>
    <w:p w14:paraId="5DEE5180"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alianza público-privada no constituye por sí misma un único título jurídico.</w:t>
      </w:r>
    </w:p>
    <w:p w14:paraId="1AB98D3E"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Podrá instrumentarse mediante convenio cuando la contraparte se encuentre legal o reglamentariamente habilitada para recibir el inmueble en administración y exista una verdadera relación de colaboración orientada a un fin público común.</w:t>
      </w:r>
    </w:p>
    <w:p w14:paraId="5B6C5305"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Cuando el esquema implique inversión privada recuperable mediante explotación económica, contraprestaciones, derechos exclusivos, prestación de servicios a la Administración, transferencia significativa de riesgos económicos o una relación de mercado, deberá utilizarse el procedimiento contractual, concesional o de colaboración público-privada que resulte legalmente aplicable.</w:t>
      </w:r>
    </w:p>
    <w:p w14:paraId="65B9DC4D"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20.—</w:t>
      </w:r>
      <w:proofErr w:type="gramEnd"/>
      <w:r w:rsidRPr="0055426C">
        <w:rPr>
          <w:rFonts w:ascii="Arial" w:hAnsi="Arial" w:cs="Arial"/>
          <w:b/>
          <w:bCs/>
          <w:sz w:val="20"/>
          <w:szCs w:val="20"/>
        </w:rPr>
        <w:t xml:space="preserve">Determinación previa de la figura jurídica: </w:t>
      </w:r>
      <w:r w:rsidRPr="0055426C">
        <w:rPr>
          <w:rFonts w:ascii="Arial" w:hAnsi="Arial" w:cs="Arial"/>
          <w:bCs/>
          <w:sz w:val="20"/>
          <w:szCs w:val="20"/>
        </w:rPr>
        <w:t>Antes de iniciar cualquier procedimiento para delegar o compartir la administración del Estadio, la Administración deberá incorporar al expediente una determinación motivada de la figura jurídica aplicable.</w:t>
      </w:r>
    </w:p>
    <w:p w14:paraId="26456EFC"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Esta valoración deberá considerar al menos:</w:t>
      </w:r>
    </w:p>
    <w:p w14:paraId="50BF7A6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Naturaleza jurídica del sujeto interesado.</w:t>
      </w:r>
    </w:p>
    <w:p w14:paraId="5CC8D9B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Finalidad principal de la relación.</w:t>
      </w:r>
    </w:p>
    <w:p w14:paraId="20549F04"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Existencia o ausencia de contraprestación.</w:t>
      </w:r>
    </w:p>
    <w:p w14:paraId="6965210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Existencia de explotación económica.</w:t>
      </w:r>
    </w:p>
    <w:p w14:paraId="67B051A5"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Derechos exclusivos que se otorguen.</w:t>
      </w:r>
    </w:p>
    <w:p w14:paraId="723913C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lastRenderedPageBreak/>
        <w:t>f) Distribución de riesgos.</w:t>
      </w:r>
    </w:p>
    <w:p w14:paraId="12B9E97B"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g) Fuente de financiamiento.</w:t>
      </w:r>
    </w:p>
    <w:p w14:paraId="013EE22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h) Destino de los ingresos.</w:t>
      </w:r>
    </w:p>
    <w:p w14:paraId="64761302"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i) Plazo.</w:t>
      </w:r>
    </w:p>
    <w:p w14:paraId="20C419B5"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j) Necesidad de inversiones.</w:t>
      </w:r>
    </w:p>
    <w:p w14:paraId="1E1AFBD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k) Régimen jurídico especial aplicable.</w:t>
      </w:r>
    </w:p>
    <w:p w14:paraId="0C3D0F3A"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 Compatibilidad con la afectación pública del inmueble.</w:t>
      </w:r>
    </w:p>
    <w:p w14:paraId="1D7DD18E"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TÍTULO IV</w:t>
      </w:r>
    </w:p>
    <w:p w14:paraId="7EDCF1E0"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PROCEDIMIENTO PARA EL OTORGAMIENTO EN ADMINISTRACIÓN</w:t>
      </w:r>
    </w:p>
    <w:p w14:paraId="7D380E8A"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21.—</w:t>
      </w:r>
      <w:proofErr w:type="gramEnd"/>
      <w:r w:rsidRPr="0055426C">
        <w:rPr>
          <w:rFonts w:ascii="Arial" w:hAnsi="Arial" w:cs="Arial"/>
          <w:b/>
          <w:bCs/>
          <w:sz w:val="20"/>
          <w:szCs w:val="20"/>
        </w:rPr>
        <w:t xml:space="preserve">Solicitud: </w:t>
      </w:r>
      <w:r w:rsidRPr="0055426C">
        <w:rPr>
          <w:rFonts w:ascii="Arial" w:hAnsi="Arial" w:cs="Arial"/>
          <w:bCs/>
          <w:sz w:val="20"/>
          <w:szCs w:val="20"/>
        </w:rPr>
        <w:t>Las organizaciones interesadas deberán presentar solicitud escrita ante el Concejo Municipal, acompañada al menos de:</w:t>
      </w:r>
    </w:p>
    <w:p w14:paraId="6A92C130" w14:textId="77777777" w:rsidR="0055426C" w:rsidRPr="0055426C" w:rsidRDefault="0055426C" w:rsidP="0055426C">
      <w:pPr>
        <w:numPr>
          <w:ilvl w:val="0"/>
          <w:numId w:val="7"/>
        </w:numPr>
        <w:spacing w:after="0" w:line="240" w:lineRule="auto"/>
        <w:jc w:val="both"/>
        <w:rPr>
          <w:rFonts w:ascii="Arial" w:hAnsi="Arial" w:cs="Arial"/>
          <w:bCs/>
          <w:sz w:val="20"/>
          <w:szCs w:val="20"/>
        </w:rPr>
      </w:pPr>
      <w:r w:rsidRPr="0055426C">
        <w:rPr>
          <w:rFonts w:ascii="Arial" w:hAnsi="Arial" w:cs="Arial"/>
          <w:bCs/>
          <w:sz w:val="20"/>
          <w:szCs w:val="20"/>
        </w:rPr>
        <w:t>Certificación del acuerdo de la Junta Directiva u órgano competente de la organización, mediante el cual se autorice expresamente la presentación de la solicitud de administración y la eventual suscripción del convenio correspondiente.</w:t>
      </w:r>
    </w:p>
    <w:p w14:paraId="1B0A2E6C" w14:textId="77777777" w:rsidR="0055426C" w:rsidRPr="0055426C" w:rsidRDefault="0055426C" w:rsidP="0055426C">
      <w:pPr>
        <w:numPr>
          <w:ilvl w:val="0"/>
          <w:numId w:val="7"/>
        </w:numPr>
        <w:spacing w:after="0" w:line="240" w:lineRule="auto"/>
        <w:jc w:val="both"/>
        <w:rPr>
          <w:rFonts w:ascii="Arial" w:hAnsi="Arial" w:cs="Arial"/>
          <w:bCs/>
          <w:sz w:val="20"/>
          <w:szCs w:val="20"/>
        </w:rPr>
      </w:pPr>
      <w:r w:rsidRPr="0055426C">
        <w:rPr>
          <w:rFonts w:ascii="Arial" w:hAnsi="Arial" w:cs="Arial"/>
          <w:bCs/>
          <w:sz w:val="20"/>
          <w:szCs w:val="20"/>
        </w:rPr>
        <w:t>Certificación de personería jurídica vigente, emitida con no más de un mes calendario de anterioridad a la presentación de la solicitud.</w:t>
      </w:r>
    </w:p>
    <w:p w14:paraId="70A3B2DC" w14:textId="77777777" w:rsidR="0055426C" w:rsidRPr="0055426C" w:rsidRDefault="0055426C" w:rsidP="0055426C">
      <w:pPr>
        <w:numPr>
          <w:ilvl w:val="0"/>
          <w:numId w:val="7"/>
        </w:numPr>
        <w:spacing w:after="0" w:line="240" w:lineRule="auto"/>
        <w:jc w:val="both"/>
        <w:rPr>
          <w:rFonts w:ascii="Arial" w:hAnsi="Arial" w:cs="Arial"/>
          <w:bCs/>
          <w:sz w:val="20"/>
          <w:szCs w:val="20"/>
        </w:rPr>
      </w:pPr>
      <w:r w:rsidRPr="0055426C">
        <w:rPr>
          <w:rFonts w:ascii="Arial" w:hAnsi="Arial" w:cs="Arial"/>
          <w:bCs/>
          <w:sz w:val="20"/>
          <w:szCs w:val="20"/>
        </w:rPr>
        <w:t>Estatutos o norma constitutiva.</w:t>
      </w:r>
    </w:p>
    <w:p w14:paraId="531182A7" w14:textId="77777777" w:rsidR="0055426C" w:rsidRPr="0055426C" w:rsidRDefault="0055426C" w:rsidP="0055426C">
      <w:pPr>
        <w:numPr>
          <w:ilvl w:val="0"/>
          <w:numId w:val="7"/>
        </w:numPr>
        <w:spacing w:after="0" w:line="240" w:lineRule="auto"/>
        <w:jc w:val="both"/>
        <w:rPr>
          <w:rFonts w:ascii="Arial" w:hAnsi="Arial" w:cs="Arial"/>
          <w:bCs/>
          <w:sz w:val="20"/>
          <w:szCs w:val="20"/>
        </w:rPr>
      </w:pPr>
      <w:r w:rsidRPr="0055426C">
        <w:rPr>
          <w:rFonts w:ascii="Arial" w:hAnsi="Arial" w:cs="Arial"/>
          <w:bCs/>
          <w:sz w:val="20"/>
          <w:szCs w:val="20"/>
        </w:rPr>
        <w:t>Certificaciones de inscripción ante las instituciones que correspondan.</w:t>
      </w:r>
    </w:p>
    <w:p w14:paraId="61CE2DB0" w14:textId="77777777" w:rsidR="0055426C" w:rsidRPr="0055426C" w:rsidRDefault="0055426C" w:rsidP="0055426C">
      <w:pPr>
        <w:numPr>
          <w:ilvl w:val="0"/>
          <w:numId w:val="7"/>
        </w:numPr>
        <w:spacing w:after="0" w:line="240" w:lineRule="auto"/>
        <w:jc w:val="both"/>
        <w:rPr>
          <w:rFonts w:ascii="Arial" w:hAnsi="Arial" w:cs="Arial"/>
          <w:bCs/>
          <w:sz w:val="20"/>
          <w:szCs w:val="20"/>
        </w:rPr>
      </w:pPr>
      <w:r w:rsidRPr="0055426C">
        <w:rPr>
          <w:rFonts w:ascii="Arial" w:hAnsi="Arial" w:cs="Arial"/>
          <w:bCs/>
          <w:sz w:val="20"/>
          <w:szCs w:val="20"/>
        </w:rPr>
        <w:t>Proyecto de administración, uso y acceso comunitario: en el que se describan las condiciones de gestión del inmueble y las medidas mediante las cuales se garantizará su utilización y aprovechamiento comunitario.</w:t>
      </w:r>
    </w:p>
    <w:p w14:paraId="3DBB9DCB" w14:textId="77777777" w:rsidR="0055426C" w:rsidRPr="0055426C" w:rsidRDefault="0055426C" w:rsidP="0055426C">
      <w:pPr>
        <w:numPr>
          <w:ilvl w:val="0"/>
          <w:numId w:val="7"/>
        </w:numPr>
        <w:spacing w:after="0" w:line="240" w:lineRule="auto"/>
        <w:jc w:val="both"/>
        <w:rPr>
          <w:rFonts w:ascii="Arial" w:hAnsi="Arial" w:cs="Arial"/>
          <w:bCs/>
          <w:sz w:val="20"/>
          <w:szCs w:val="20"/>
        </w:rPr>
      </w:pPr>
      <w:r w:rsidRPr="0055426C">
        <w:rPr>
          <w:rFonts w:ascii="Arial" w:hAnsi="Arial" w:cs="Arial"/>
          <w:bCs/>
          <w:sz w:val="20"/>
          <w:szCs w:val="20"/>
        </w:rPr>
        <w:t>Plan anual de mantenimiento.</w:t>
      </w:r>
    </w:p>
    <w:p w14:paraId="61A13AF4" w14:textId="77777777" w:rsidR="0055426C" w:rsidRPr="0055426C" w:rsidRDefault="0055426C" w:rsidP="0055426C">
      <w:pPr>
        <w:numPr>
          <w:ilvl w:val="0"/>
          <w:numId w:val="7"/>
        </w:numPr>
        <w:spacing w:after="0" w:line="240" w:lineRule="auto"/>
        <w:jc w:val="both"/>
        <w:rPr>
          <w:rFonts w:ascii="Arial" w:hAnsi="Arial" w:cs="Arial"/>
          <w:bCs/>
          <w:sz w:val="20"/>
          <w:szCs w:val="20"/>
        </w:rPr>
      </w:pPr>
      <w:r w:rsidRPr="0055426C">
        <w:rPr>
          <w:rFonts w:ascii="Arial" w:hAnsi="Arial" w:cs="Arial"/>
          <w:bCs/>
          <w:sz w:val="20"/>
          <w:szCs w:val="20"/>
        </w:rPr>
        <w:t>Propuesta de programación deportiva, recreativa, comunitaria y social.</w:t>
      </w:r>
    </w:p>
    <w:p w14:paraId="015F840D" w14:textId="77777777" w:rsidR="0055426C" w:rsidRPr="0055426C" w:rsidRDefault="0055426C" w:rsidP="0055426C">
      <w:pPr>
        <w:numPr>
          <w:ilvl w:val="0"/>
          <w:numId w:val="7"/>
        </w:numPr>
        <w:spacing w:after="0" w:line="240" w:lineRule="auto"/>
        <w:jc w:val="both"/>
        <w:rPr>
          <w:rFonts w:ascii="Arial" w:hAnsi="Arial" w:cs="Arial"/>
          <w:bCs/>
          <w:sz w:val="20"/>
          <w:szCs w:val="20"/>
        </w:rPr>
      </w:pPr>
      <w:r w:rsidRPr="0055426C">
        <w:rPr>
          <w:rFonts w:ascii="Arial" w:hAnsi="Arial" w:cs="Arial"/>
          <w:bCs/>
          <w:sz w:val="20"/>
          <w:szCs w:val="20"/>
        </w:rPr>
        <w:t>Plan financiero.</w:t>
      </w:r>
    </w:p>
    <w:p w14:paraId="48599F4B" w14:textId="77777777" w:rsidR="0055426C" w:rsidRPr="0055426C" w:rsidRDefault="0055426C" w:rsidP="0055426C">
      <w:pPr>
        <w:numPr>
          <w:ilvl w:val="0"/>
          <w:numId w:val="7"/>
        </w:numPr>
        <w:spacing w:after="0" w:line="240" w:lineRule="auto"/>
        <w:jc w:val="both"/>
        <w:rPr>
          <w:rFonts w:ascii="Arial" w:hAnsi="Arial" w:cs="Arial"/>
          <w:bCs/>
          <w:sz w:val="20"/>
          <w:szCs w:val="20"/>
        </w:rPr>
      </w:pPr>
      <w:r w:rsidRPr="0055426C">
        <w:rPr>
          <w:rFonts w:ascii="Arial" w:hAnsi="Arial" w:cs="Arial"/>
          <w:bCs/>
          <w:sz w:val="20"/>
          <w:szCs w:val="20"/>
        </w:rPr>
        <w:t>Proyección de ingresos y gastos cuando se prevea generación de recursos.</w:t>
      </w:r>
    </w:p>
    <w:p w14:paraId="3140DF68" w14:textId="77777777" w:rsidR="0055426C" w:rsidRPr="0055426C" w:rsidRDefault="0055426C" w:rsidP="0055426C">
      <w:pPr>
        <w:numPr>
          <w:ilvl w:val="0"/>
          <w:numId w:val="7"/>
        </w:numPr>
        <w:spacing w:after="0" w:line="240" w:lineRule="auto"/>
        <w:jc w:val="both"/>
        <w:rPr>
          <w:rFonts w:ascii="Arial" w:hAnsi="Arial" w:cs="Arial"/>
          <w:bCs/>
          <w:sz w:val="20"/>
          <w:szCs w:val="20"/>
        </w:rPr>
      </w:pPr>
      <w:r w:rsidRPr="0055426C">
        <w:rPr>
          <w:rFonts w:ascii="Arial" w:hAnsi="Arial" w:cs="Arial"/>
          <w:bCs/>
          <w:sz w:val="20"/>
          <w:szCs w:val="20"/>
        </w:rPr>
        <w:t>Experiencia y capacidad técnica.</w:t>
      </w:r>
    </w:p>
    <w:p w14:paraId="20C771F3" w14:textId="77777777" w:rsidR="0055426C" w:rsidRPr="0055426C" w:rsidRDefault="0055426C" w:rsidP="0055426C">
      <w:pPr>
        <w:numPr>
          <w:ilvl w:val="0"/>
          <w:numId w:val="7"/>
        </w:numPr>
        <w:spacing w:after="0" w:line="240" w:lineRule="auto"/>
        <w:jc w:val="both"/>
        <w:rPr>
          <w:rFonts w:ascii="Arial" w:hAnsi="Arial" w:cs="Arial"/>
          <w:bCs/>
          <w:sz w:val="20"/>
          <w:szCs w:val="20"/>
        </w:rPr>
      </w:pPr>
      <w:r w:rsidRPr="0055426C">
        <w:rPr>
          <w:rFonts w:ascii="Arial" w:hAnsi="Arial" w:cs="Arial"/>
          <w:bCs/>
          <w:sz w:val="20"/>
          <w:szCs w:val="20"/>
        </w:rPr>
        <w:t>Declaración de conflictos de interés.</w:t>
      </w:r>
    </w:p>
    <w:p w14:paraId="1E6B309A" w14:textId="77777777" w:rsidR="0055426C" w:rsidRPr="0055426C" w:rsidRDefault="0055426C" w:rsidP="0055426C">
      <w:pPr>
        <w:numPr>
          <w:ilvl w:val="0"/>
          <w:numId w:val="7"/>
        </w:numPr>
        <w:spacing w:after="0" w:line="240" w:lineRule="auto"/>
        <w:jc w:val="both"/>
        <w:rPr>
          <w:rFonts w:ascii="Arial" w:hAnsi="Arial" w:cs="Arial"/>
          <w:bCs/>
          <w:sz w:val="20"/>
          <w:szCs w:val="20"/>
        </w:rPr>
      </w:pPr>
      <w:r w:rsidRPr="0055426C">
        <w:rPr>
          <w:rFonts w:ascii="Arial" w:hAnsi="Arial" w:cs="Arial"/>
          <w:bCs/>
          <w:sz w:val="20"/>
          <w:szCs w:val="20"/>
        </w:rPr>
        <w:t>Los demás requisitos establecidos en el régimen jurídico aplicable.</w:t>
      </w:r>
    </w:p>
    <w:p w14:paraId="113435B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22.—</w:t>
      </w:r>
      <w:proofErr w:type="gramEnd"/>
      <w:r w:rsidRPr="0055426C">
        <w:rPr>
          <w:rFonts w:ascii="Arial" w:hAnsi="Arial" w:cs="Arial"/>
          <w:b/>
          <w:bCs/>
          <w:sz w:val="20"/>
          <w:szCs w:val="20"/>
        </w:rPr>
        <w:t xml:space="preserve">Convocatoria pública. </w:t>
      </w:r>
      <w:r w:rsidRPr="0055426C">
        <w:rPr>
          <w:rFonts w:ascii="Arial" w:hAnsi="Arial" w:cs="Arial"/>
          <w:bCs/>
          <w:sz w:val="20"/>
          <w:szCs w:val="20"/>
        </w:rPr>
        <w:t>Cuando la Municipalidad determine que la administración del Estadio o de alguna de sus áreas será otorgada mediante convenio a una organización jurídicamente habilitada para ello, deberá realizarse previamente una convocatoria pública que garantice los principios de publicidad, transparencia, igualdad y participación.</w:t>
      </w:r>
    </w:p>
    <w:p w14:paraId="1AFCDEE2"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convocatoria deberá indicar, al menos, el inmueble o área objeto de administración, los requisitos que deberán cumplir las organizaciones interesadas, los documentos que deberán acompañar a la solicitud, el plazo para su presentación y los criterios que serán utilizados para la valoración de las propuestas.</w:t>
      </w:r>
    </w:p>
    <w:p w14:paraId="71FF492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Vencido el plazo de la convocatoria, las solicitudes recibidas serán valoradas conforme a este Reglamento. La existencia de una única organización participante no impedirá la continuación del procedimiento, siempre que esta cumpla los requisitos legales, reglamentarios y técnicos aplicables.</w:t>
      </w:r>
    </w:p>
    <w:p w14:paraId="69A77C0B"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Lo dispuesto en este artículo será aplicable únicamente cuando la figura jurídica seleccionada corresponda al otorgamiento de la administración mediante convenio, sin perjuicio de los procedimientos especiales que resulten aplicables a otras modalidades de administración.</w:t>
      </w:r>
    </w:p>
    <w:p w14:paraId="594EA875"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22 </w:t>
      </w:r>
      <w:proofErr w:type="gramStart"/>
      <w:r w:rsidRPr="0055426C">
        <w:rPr>
          <w:rFonts w:ascii="Arial" w:hAnsi="Arial" w:cs="Arial"/>
          <w:b/>
          <w:bCs/>
          <w:sz w:val="20"/>
          <w:szCs w:val="20"/>
        </w:rPr>
        <w:t>bis.—</w:t>
      </w:r>
      <w:proofErr w:type="gramEnd"/>
      <w:r w:rsidRPr="0055426C">
        <w:rPr>
          <w:rFonts w:ascii="Arial" w:hAnsi="Arial" w:cs="Arial"/>
          <w:b/>
          <w:bCs/>
          <w:sz w:val="20"/>
          <w:szCs w:val="20"/>
        </w:rPr>
        <w:t xml:space="preserve">Pluralidad de interesados: </w:t>
      </w:r>
      <w:r w:rsidRPr="0055426C">
        <w:rPr>
          <w:rFonts w:ascii="Arial" w:hAnsi="Arial" w:cs="Arial"/>
          <w:bCs/>
          <w:sz w:val="20"/>
          <w:szCs w:val="20"/>
        </w:rPr>
        <w:t>Cuando dos o más organizaciones jurídicamente habilitadas pretendan la administración del mismo inmueble o área, deberá realizarse una valoración objetiva y motivada.</w:t>
      </w:r>
    </w:p>
    <w:p w14:paraId="39A1710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selección considerará, entre otros:</w:t>
      </w:r>
    </w:p>
    <w:p w14:paraId="01795822"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Cumplimiento de requisitos legales.</w:t>
      </w:r>
    </w:p>
    <w:p w14:paraId="2736D43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Vinculación territorial y comunitaria.</w:t>
      </w:r>
    </w:p>
    <w:p w14:paraId="7D78F15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Experiencia.</w:t>
      </w:r>
    </w:p>
    <w:p w14:paraId="23D073E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Capacidad técnica y administrativa.</w:t>
      </w:r>
    </w:p>
    <w:p w14:paraId="0EFA8756"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Plan de mantenimiento.</w:t>
      </w:r>
    </w:p>
    <w:p w14:paraId="3C26A6B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Acceso comunitario propuesto.</w:t>
      </w:r>
    </w:p>
    <w:p w14:paraId="31D778DA"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g) Programa deportivo y recreativo.</w:t>
      </w:r>
    </w:p>
    <w:p w14:paraId="32441505"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h) Sostenibilidad financiera.</w:t>
      </w:r>
    </w:p>
    <w:p w14:paraId="78E721C7"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i) Inversiones propuestas.</w:t>
      </w:r>
    </w:p>
    <w:p w14:paraId="5607BBA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j) Mecanismos de rendición de cuentas.</w:t>
      </w:r>
    </w:p>
    <w:p w14:paraId="01B64F3C"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lastRenderedPageBreak/>
        <w:t>k) Beneficio público esperado.</w:t>
      </w:r>
    </w:p>
    <w:p w14:paraId="4A0A5D4E"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utilización de criterios comparativos para seleccionar una organización dentro de un régimen convencional no transformará, por sí sola, el procedimiento en una contratación pública cuando exista habilitación legal o reglamentaria para el convenio.</w:t>
      </w:r>
    </w:p>
    <w:p w14:paraId="0AAA4F22"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23.—</w:t>
      </w:r>
      <w:proofErr w:type="gramEnd"/>
      <w:r w:rsidRPr="0055426C">
        <w:rPr>
          <w:rFonts w:ascii="Arial" w:hAnsi="Arial" w:cs="Arial"/>
          <w:b/>
          <w:bCs/>
          <w:sz w:val="20"/>
          <w:szCs w:val="20"/>
        </w:rPr>
        <w:t xml:space="preserve">Contenido mínimo del convenio: </w:t>
      </w:r>
      <w:r w:rsidRPr="0055426C">
        <w:rPr>
          <w:rFonts w:ascii="Arial" w:hAnsi="Arial" w:cs="Arial"/>
          <w:bCs/>
          <w:sz w:val="20"/>
          <w:szCs w:val="20"/>
        </w:rPr>
        <w:t xml:space="preserve">Todo convenio de administración deberá contemplar al menos los siguientes aspectos sin perjuicio que se puedan incluir cláusulas especiales acordadas por el Concejo Municipal para garantizar el correcto uso y disfrute del inmueble en beneficio de la colectividad: </w:t>
      </w:r>
    </w:p>
    <w:p w14:paraId="42AA9502"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Identificación del inmueble y áreas comprendidas.</w:t>
      </w:r>
    </w:p>
    <w:p w14:paraId="25233669" w14:textId="77777777" w:rsidR="0055426C" w:rsidRPr="0055426C" w:rsidRDefault="0055426C" w:rsidP="0055426C">
      <w:pPr>
        <w:spacing w:after="0" w:line="240" w:lineRule="auto"/>
        <w:jc w:val="both"/>
        <w:rPr>
          <w:rFonts w:ascii="Arial" w:hAnsi="Arial" w:cs="Arial"/>
          <w:bCs/>
          <w:sz w:val="20"/>
          <w:szCs w:val="20"/>
          <w:lang w:val="pt-PT"/>
        </w:rPr>
      </w:pPr>
      <w:r w:rsidRPr="0055426C">
        <w:rPr>
          <w:rFonts w:ascii="Arial" w:hAnsi="Arial" w:cs="Arial"/>
          <w:bCs/>
          <w:sz w:val="20"/>
          <w:szCs w:val="20"/>
          <w:lang w:val="pt-PT"/>
        </w:rPr>
        <w:t>b) Objeto.</w:t>
      </w:r>
    </w:p>
    <w:p w14:paraId="52EB14F6" w14:textId="77777777" w:rsidR="0055426C" w:rsidRPr="0055426C" w:rsidRDefault="0055426C" w:rsidP="0055426C">
      <w:pPr>
        <w:spacing w:after="0" w:line="240" w:lineRule="auto"/>
        <w:jc w:val="both"/>
        <w:rPr>
          <w:rFonts w:ascii="Arial" w:hAnsi="Arial" w:cs="Arial"/>
          <w:bCs/>
          <w:sz w:val="20"/>
          <w:szCs w:val="20"/>
          <w:lang w:val="pt-PT"/>
        </w:rPr>
      </w:pPr>
      <w:r w:rsidRPr="0055426C">
        <w:rPr>
          <w:rFonts w:ascii="Arial" w:hAnsi="Arial" w:cs="Arial"/>
          <w:bCs/>
          <w:sz w:val="20"/>
          <w:szCs w:val="20"/>
          <w:lang w:val="pt-PT"/>
        </w:rPr>
        <w:t>c) Fundamento jurídico.</w:t>
      </w:r>
    </w:p>
    <w:p w14:paraId="1F9011C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Plazo.</w:t>
      </w:r>
    </w:p>
    <w:p w14:paraId="75062AF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Derechos y obligaciones.</w:t>
      </w:r>
    </w:p>
    <w:p w14:paraId="08AC6B95"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Inventario inicial.</w:t>
      </w:r>
    </w:p>
    <w:p w14:paraId="59A7D8D1"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g) Estado de conservación.</w:t>
      </w:r>
    </w:p>
    <w:p w14:paraId="1735B1C7"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h) Plan de administración.</w:t>
      </w:r>
    </w:p>
    <w:p w14:paraId="01F1EFB2"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i) Plan de mantenimiento.</w:t>
      </w:r>
    </w:p>
    <w:p w14:paraId="39852F52"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j) Régimen de ingresos.</w:t>
      </w:r>
    </w:p>
    <w:p w14:paraId="4575245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k) Destino de los recursos.</w:t>
      </w:r>
    </w:p>
    <w:p w14:paraId="3A0046B8"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 Mecanismos contables.</w:t>
      </w:r>
    </w:p>
    <w:p w14:paraId="37A5D94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m) Obras e inversiones.</w:t>
      </w:r>
    </w:p>
    <w:p w14:paraId="708C9FB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n) Seguros.</w:t>
      </w:r>
    </w:p>
    <w:p w14:paraId="5DD7975A"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o) Acceso comunitario.</w:t>
      </w:r>
    </w:p>
    <w:p w14:paraId="32D64551"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p) Programación.</w:t>
      </w:r>
    </w:p>
    <w:p w14:paraId="612E044C"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q) Fiscalización.</w:t>
      </w:r>
    </w:p>
    <w:p w14:paraId="3D67C993" w14:textId="77777777" w:rsidR="0055426C" w:rsidRPr="0055426C" w:rsidRDefault="0055426C" w:rsidP="0055426C">
      <w:pPr>
        <w:spacing w:after="0" w:line="240" w:lineRule="auto"/>
        <w:jc w:val="both"/>
        <w:rPr>
          <w:rFonts w:ascii="Arial" w:hAnsi="Arial" w:cs="Arial"/>
          <w:bCs/>
          <w:sz w:val="20"/>
          <w:szCs w:val="20"/>
          <w:lang w:val="pt-PT"/>
        </w:rPr>
      </w:pPr>
      <w:r w:rsidRPr="0055426C">
        <w:rPr>
          <w:rFonts w:ascii="Arial" w:hAnsi="Arial" w:cs="Arial"/>
          <w:bCs/>
          <w:sz w:val="20"/>
          <w:szCs w:val="20"/>
          <w:lang w:val="pt-PT"/>
        </w:rPr>
        <w:t>r) Informes.</w:t>
      </w:r>
    </w:p>
    <w:p w14:paraId="51ACF0CE" w14:textId="77777777" w:rsidR="0055426C" w:rsidRPr="0055426C" w:rsidRDefault="0055426C" w:rsidP="0055426C">
      <w:pPr>
        <w:spacing w:after="0" w:line="240" w:lineRule="auto"/>
        <w:jc w:val="both"/>
        <w:rPr>
          <w:rFonts w:ascii="Arial" w:hAnsi="Arial" w:cs="Arial"/>
          <w:bCs/>
          <w:sz w:val="20"/>
          <w:szCs w:val="20"/>
          <w:lang w:val="pt-PT"/>
        </w:rPr>
      </w:pPr>
      <w:r w:rsidRPr="0055426C">
        <w:rPr>
          <w:rFonts w:ascii="Arial" w:hAnsi="Arial" w:cs="Arial"/>
          <w:bCs/>
          <w:sz w:val="20"/>
          <w:szCs w:val="20"/>
          <w:lang w:val="pt-PT"/>
        </w:rPr>
        <w:t>s) Indicadores de desempeño.</w:t>
      </w:r>
    </w:p>
    <w:p w14:paraId="729EF7F5"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t) Prohibición de ceder la administración sin autorización.</w:t>
      </w:r>
    </w:p>
    <w:p w14:paraId="579B6C2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u) Consecuencias del incumplimiento.</w:t>
      </w:r>
    </w:p>
    <w:p w14:paraId="0090578E"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v) Procedimiento para terminación anticipada.</w:t>
      </w:r>
    </w:p>
    <w:p w14:paraId="3C7B9816"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w) Reversión y entrega del inmueble.</w:t>
      </w:r>
    </w:p>
    <w:p w14:paraId="6C8651FE"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24.—</w:t>
      </w:r>
      <w:proofErr w:type="gramEnd"/>
      <w:r w:rsidRPr="0055426C">
        <w:rPr>
          <w:rFonts w:ascii="Arial" w:hAnsi="Arial" w:cs="Arial"/>
          <w:b/>
          <w:bCs/>
          <w:sz w:val="20"/>
          <w:szCs w:val="20"/>
        </w:rPr>
        <w:t>Plazo y prórroga de los convenios de administración</w:t>
      </w:r>
      <w:r w:rsidRPr="0055426C">
        <w:rPr>
          <w:rFonts w:ascii="Arial" w:hAnsi="Arial" w:cs="Arial"/>
          <w:bCs/>
          <w:sz w:val="20"/>
          <w:szCs w:val="20"/>
        </w:rPr>
        <w:t>. Los convenios de administración tendrán un plazo inicial de dos años y podrán ser prorrogados, por una única vez y por un período adicional de un año, previa valoración del cumplimiento de las obligaciones asumidas por la organización administradora. La prórroga no operará de forma automática y requerirá acuerdo expreso del Concejo Municipal.</w:t>
      </w:r>
    </w:p>
    <w:p w14:paraId="780465F2"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organización administradora interesada en obtener la prórroga deberá presentar la solicitud completa con una antelación mínima de cuatro meses calendario al vencimiento del convenio, acompañada de los informes, documentos y demás requisitos establecidos en este Reglamento que permitan valorar su gestión y el cumplimiento de las obligaciones asumidas.</w:t>
      </w:r>
    </w:p>
    <w:p w14:paraId="5BC7EBA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Recibido el expediente completo para conocimiento del Concejo Municipal, este contará con un plazo máximo de un mes calendario para resolver sobre la procedencia o improcedencia de la prórroga.</w:t>
      </w:r>
    </w:p>
    <w:p w14:paraId="1FA921F1"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 xml:space="preserve">Cuando la prórroga sea aprobada, la Alcaldía Municipal contará con un plazo máximo de un mes calendario, contado a partir de la comunicación del acuerdo firme del Concejo Municipal, para realizar las actuaciones administrativas necesarias y formalizar la respectiva prórroga. </w:t>
      </w:r>
    </w:p>
    <w:p w14:paraId="3687E914"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presentación de la solicitud de prórroga no implicará, por sí misma, la extensión del plazo del convenio. En consecuencia, la prórroga deberá quedar aprobada y formalizada antes del vencimiento del plazo vigente.</w:t>
      </w:r>
    </w:p>
    <w:p w14:paraId="17056588"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Cuando la organización administradora no presente oportunamente la solicitud de prórroga, esta sea denegada o el Concejo Municipal determine que no procede su otorgamiento, el Concejo en coordinación con la Administración deberá adoptar oportunamente las medidas necesarias para garantizar la entrega ordenada del inmueble y, cuando corresponda, iniciar el procedimiento para seleccionar o autorizar una nueva organización administradora, procurando evitar interrupciones injustificadas en el uso y funcionamiento del bien.</w:t>
      </w:r>
    </w:p>
    <w:p w14:paraId="4514CDE6"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Las relaciones contractuales distintas de los convenios de administración se sujetarán al plazo que resulte técnica y jurídicamente procedente, de conformidad con la legislación aplicable.</w:t>
      </w:r>
    </w:p>
    <w:p w14:paraId="4A2BD2EF"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lastRenderedPageBreak/>
        <w:t>TÍTULO V</w:t>
      </w:r>
    </w:p>
    <w:p w14:paraId="0E4807A0"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UTILIZACIÓN DEL ESTADIO</w:t>
      </w:r>
    </w:p>
    <w:p w14:paraId="7C592EB5"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25.—</w:t>
      </w:r>
      <w:proofErr w:type="gramEnd"/>
      <w:r w:rsidRPr="0055426C">
        <w:rPr>
          <w:rFonts w:ascii="Arial" w:hAnsi="Arial" w:cs="Arial"/>
          <w:b/>
          <w:bCs/>
          <w:sz w:val="20"/>
          <w:szCs w:val="20"/>
        </w:rPr>
        <w:t xml:space="preserve">Destino prioritario </w:t>
      </w:r>
      <w:r w:rsidRPr="0055426C">
        <w:rPr>
          <w:rFonts w:ascii="Arial" w:hAnsi="Arial" w:cs="Arial"/>
          <w:bCs/>
          <w:sz w:val="20"/>
          <w:szCs w:val="20"/>
        </w:rPr>
        <w:t>El Estadio se destinará prioritariamente a:</w:t>
      </w:r>
    </w:p>
    <w:p w14:paraId="0461CEB1"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Actividades deportivas.</w:t>
      </w:r>
    </w:p>
    <w:p w14:paraId="3743165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Actividades recreativas.</w:t>
      </w:r>
    </w:p>
    <w:p w14:paraId="23BE0B96"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Programas de estilos de vida saludable.</w:t>
      </w:r>
    </w:p>
    <w:p w14:paraId="4CCF417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Actividades comunitarias compatibles con el inmueble.</w:t>
      </w:r>
    </w:p>
    <w:p w14:paraId="46109455"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Actividades educativas.</w:t>
      </w:r>
    </w:p>
    <w:p w14:paraId="051749A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Actividades culturales compatibles con su infraestructura y destino.</w:t>
      </w:r>
    </w:p>
    <w:p w14:paraId="6970B400"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Podrán autorizarse actividades extraordinarias de distinta naturaleza cuando sean compatibles con la afectación pública, la seguridad, la protección de la infraestructura y el interés público.</w:t>
      </w:r>
    </w:p>
    <w:p w14:paraId="23B65046"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26.—</w:t>
      </w:r>
      <w:proofErr w:type="gramEnd"/>
      <w:r w:rsidRPr="0055426C">
        <w:rPr>
          <w:rFonts w:ascii="Arial" w:hAnsi="Arial" w:cs="Arial"/>
          <w:b/>
          <w:bCs/>
          <w:sz w:val="20"/>
          <w:szCs w:val="20"/>
        </w:rPr>
        <w:t xml:space="preserve">Prioridades de utilización: </w:t>
      </w:r>
      <w:r w:rsidRPr="0055426C">
        <w:rPr>
          <w:rFonts w:ascii="Arial" w:hAnsi="Arial" w:cs="Arial"/>
          <w:bCs/>
          <w:sz w:val="20"/>
          <w:szCs w:val="20"/>
        </w:rPr>
        <w:t>Cuando exista coincidencia de solicitudes se considerarán, de manera motivada, las siguientes prioridades:</w:t>
      </w:r>
    </w:p>
    <w:p w14:paraId="243252F7"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Actividades oficiales de la Municipalidad.</w:t>
      </w:r>
    </w:p>
    <w:p w14:paraId="39A596C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Programación del Comité Cantonal de Deportes y Recreación.</w:t>
      </w:r>
    </w:p>
    <w:p w14:paraId="20967AA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Programas deportivos o recreativos cantonales.</w:t>
      </w:r>
    </w:p>
    <w:p w14:paraId="47ED40F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Actividades de interés cantonal.</w:t>
      </w:r>
    </w:p>
    <w:p w14:paraId="73E36407"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Programas comunitarios y sociales.</w:t>
      </w:r>
    </w:p>
    <w:p w14:paraId="7581683C"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Centros educativos.</w:t>
      </w:r>
    </w:p>
    <w:p w14:paraId="0088C435"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g) Organizaciones deportivas y comunales.</w:t>
      </w:r>
    </w:p>
    <w:p w14:paraId="19DBC2DA" w14:textId="77777777" w:rsidR="0055426C" w:rsidRPr="0055426C" w:rsidRDefault="0055426C" w:rsidP="0055426C">
      <w:pPr>
        <w:spacing w:after="0" w:line="240" w:lineRule="auto"/>
        <w:jc w:val="both"/>
        <w:rPr>
          <w:rFonts w:ascii="Arial" w:hAnsi="Arial" w:cs="Arial"/>
          <w:bCs/>
          <w:sz w:val="20"/>
          <w:szCs w:val="20"/>
          <w:lang w:val="pt-PT"/>
        </w:rPr>
      </w:pPr>
      <w:r w:rsidRPr="0055426C">
        <w:rPr>
          <w:rFonts w:ascii="Arial" w:hAnsi="Arial" w:cs="Arial"/>
          <w:bCs/>
          <w:sz w:val="20"/>
          <w:szCs w:val="20"/>
          <w:lang w:val="pt-PT"/>
        </w:rPr>
        <w:t>h) Actividades privadas o comerciales autorizadas.</w:t>
      </w:r>
    </w:p>
    <w:p w14:paraId="1ECEF55F"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Cs/>
          <w:sz w:val="20"/>
          <w:szCs w:val="20"/>
        </w:rPr>
        <w:t xml:space="preserve">La aplicación de prioridades deberá respetar criterios de igualdad, razonabilidad, rotación de horarios, accesibilidad y aprovechamiento eficiente de las instalaciones y compromisos previamente adquiridos. </w:t>
      </w:r>
    </w:p>
    <w:p w14:paraId="04A80A21"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persona u organización que tenga a su cargo la administración del Estadio deberá garantizar, como mínimo, catorce horas semanales de utilización gratuita para fines deportivos, recreativos, sociales o comunitarios, las cuales deberán distribuirse en horarios razonables y diferenciados que permitan su efectivo aprovechamiento por la población.</w:t>
      </w:r>
    </w:p>
    <w:p w14:paraId="3D995032"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programación de estas horas deberá coordinarse con el Comité Cantonal de Deportes y Recreación de Goicoechea, de forma que puedan destinarse a actividades, programas u organizaciones de interés comunal, procurando diversidad de horarios y condiciones efectivas de acceso.</w:t>
      </w:r>
    </w:p>
    <w:p w14:paraId="3DA652D6"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Estas horas no podrán ser sustituidas por actividades comerciales, promocionales ni por actividades sujetas al pago ordinario de tarifas por parte de las personas beneficiarias.</w:t>
      </w:r>
    </w:p>
    <w:p w14:paraId="30C4B49C" w14:textId="77777777" w:rsidR="0055426C" w:rsidRPr="0055426C" w:rsidRDefault="0055426C" w:rsidP="0055426C">
      <w:pPr>
        <w:spacing w:after="0" w:line="240" w:lineRule="auto"/>
        <w:jc w:val="both"/>
        <w:rPr>
          <w:rFonts w:ascii="Arial" w:hAnsi="Arial" w:cs="Arial"/>
          <w:bCs/>
          <w:sz w:val="20"/>
          <w:szCs w:val="20"/>
        </w:rPr>
      </w:pPr>
    </w:p>
    <w:p w14:paraId="0551887C"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27.—</w:t>
      </w:r>
      <w:proofErr w:type="gramEnd"/>
      <w:r w:rsidRPr="0055426C">
        <w:rPr>
          <w:rFonts w:ascii="Arial" w:hAnsi="Arial" w:cs="Arial"/>
          <w:b/>
          <w:bCs/>
          <w:sz w:val="20"/>
          <w:szCs w:val="20"/>
        </w:rPr>
        <w:t xml:space="preserve">Modalidades de uso. </w:t>
      </w:r>
      <w:r w:rsidRPr="0055426C">
        <w:rPr>
          <w:rFonts w:ascii="Arial" w:hAnsi="Arial" w:cs="Arial"/>
          <w:bCs/>
          <w:sz w:val="20"/>
          <w:szCs w:val="20"/>
        </w:rPr>
        <w:t>Se reconocen las siguientes modalidades:</w:t>
      </w:r>
    </w:p>
    <w:p w14:paraId="23EDBF4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Uso institucional.</w:t>
      </w:r>
    </w:p>
    <w:p w14:paraId="72D01CD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Uso deportivo permanente.</w:t>
      </w:r>
    </w:p>
    <w:p w14:paraId="34F0908C"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Uso deportivo temporal.</w:t>
      </w:r>
    </w:p>
    <w:p w14:paraId="0BE61651"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Uso recreativo.</w:t>
      </w:r>
    </w:p>
    <w:p w14:paraId="14F2D188"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Uso comunitario.</w:t>
      </w:r>
    </w:p>
    <w:p w14:paraId="425D196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Uso educativo.</w:t>
      </w:r>
    </w:p>
    <w:p w14:paraId="08A4A42B" w14:textId="77777777" w:rsidR="0055426C" w:rsidRPr="0055426C" w:rsidRDefault="0055426C" w:rsidP="0055426C">
      <w:pPr>
        <w:spacing w:after="0" w:line="240" w:lineRule="auto"/>
        <w:jc w:val="both"/>
        <w:rPr>
          <w:rFonts w:ascii="Arial" w:hAnsi="Arial" w:cs="Arial"/>
          <w:bCs/>
          <w:sz w:val="20"/>
          <w:szCs w:val="20"/>
          <w:lang w:val="pt-PT"/>
        </w:rPr>
      </w:pPr>
      <w:r w:rsidRPr="0055426C">
        <w:rPr>
          <w:rFonts w:ascii="Arial" w:hAnsi="Arial" w:cs="Arial"/>
          <w:bCs/>
          <w:sz w:val="20"/>
          <w:szCs w:val="20"/>
          <w:lang w:val="pt-PT"/>
        </w:rPr>
        <w:t>g) Uso cultural.</w:t>
      </w:r>
    </w:p>
    <w:p w14:paraId="2F3AC2FD" w14:textId="77777777" w:rsidR="0055426C" w:rsidRPr="0055426C" w:rsidRDefault="0055426C" w:rsidP="0055426C">
      <w:pPr>
        <w:spacing w:after="0" w:line="240" w:lineRule="auto"/>
        <w:jc w:val="both"/>
        <w:rPr>
          <w:rFonts w:ascii="Arial" w:hAnsi="Arial" w:cs="Arial"/>
          <w:bCs/>
          <w:sz w:val="20"/>
          <w:szCs w:val="20"/>
          <w:lang w:val="pt-PT"/>
        </w:rPr>
      </w:pPr>
      <w:r w:rsidRPr="0055426C">
        <w:rPr>
          <w:rFonts w:ascii="Arial" w:hAnsi="Arial" w:cs="Arial"/>
          <w:bCs/>
          <w:sz w:val="20"/>
          <w:szCs w:val="20"/>
          <w:lang w:val="pt-PT"/>
        </w:rPr>
        <w:t>h) Evento especial.</w:t>
      </w:r>
    </w:p>
    <w:p w14:paraId="7C5734AE" w14:textId="77777777" w:rsidR="0055426C" w:rsidRPr="0055426C" w:rsidRDefault="0055426C" w:rsidP="0055426C">
      <w:pPr>
        <w:spacing w:after="0" w:line="240" w:lineRule="auto"/>
        <w:jc w:val="both"/>
        <w:rPr>
          <w:rFonts w:ascii="Arial" w:hAnsi="Arial" w:cs="Arial"/>
          <w:bCs/>
          <w:sz w:val="20"/>
          <w:szCs w:val="20"/>
          <w:lang w:val="pt-PT"/>
        </w:rPr>
      </w:pPr>
      <w:r w:rsidRPr="0055426C">
        <w:rPr>
          <w:rFonts w:ascii="Arial" w:hAnsi="Arial" w:cs="Arial"/>
          <w:bCs/>
          <w:sz w:val="20"/>
          <w:szCs w:val="20"/>
          <w:lang w:val="pt-PT"/>
        </w:rPr>
        <w:t>i) Uso comercial extraordinario.</w:t>
      </w:r>
    </w:p>
    <w:p w14:paraId="388CF012" w14:textId="77777777" w:rsidR="0055426C" w:rsidRPr="0055426C" w:rsidRDefault="0055426C" w:rsidP="0055426C">
      <w:pPr>
        <w:spacing w:after="0" w:line="240" w:lineRule="auto"/>
        <w:jc w:val="both"/>
        <w:rPr>
          <w:rFonts w:ascii="Arial" w:hAnsi="Arial" w:cs="Arial"/>
          <w:bCs/>
          <w:sz w:val="20"/>
          <w:szCs w:val="20"/>
          <w:lang w:val="pt-PT"/>
        </w:rPr>
      </w:pPr>
      <w:r w:rsidRPr="0055426C">
        <w:rPr>
          <w:rFonts w:ascii="Arial" w:hAnsi="Arial" w:cs="Arial"/>
          <w:bCs/>
          <w:sz w:val="20"/>
          <w:szCs w:val="20"/>
          <w:lang w:val="pt-PT"/>
        </w:rPr>
        <w:t>j) Aprovechamiento económico permanente cuando haya sido adjudicado conforme al ordenamiento jurídico.</w:t>
      </w:r>
    </w:p>
    <w:p w14:paraId="11E2BBEF" w14:textId="77777777" w:rsidR="0055426C" w:rsidRPr="0055426C" w:rsidRDefault="0055426C" w:rsidP="0055426C">
      <w:pPr>
        <w:spacing w:after="0" w:line="240" w:lineRule="auto"/>
        <w:jc w:val="both"/>
        <w:rPr>
          <w:rFonts w:ascii="Arial" w:hAnsi="Arial" w:cs="Arial"/>
          <w:bCs/>
          <w:sz w:val="20"/>
          <w:szCs w:val="20"/>
          <w:lang w:val="pt-PT"/>
        </w:rPr>
      </w:pPr>
      <w:r w:rsidRPr="0055426C">
        <w:rPr>
          <w:rFonts w:ascii="Arial" w:hAnsi="Arial" w:cs="Arial"/>
          <w:bCs/>
          <w:sz w:val="20"/>
          <w:szCs w:val="20"/>
          <w:lang w:val="pt-PT"/>
        </w:rPr>
        <w:t>Cada modalidad deberá utilizar el instrumento jurídico que corresponda a su naturaleza.</w:t>
      </w:r>
    </w:p>
    <w:p w14:paraId="425067B0"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28.—</w:t>
      </w:r>
      <w:proofErr w:type="gramEnd"/>
      <w:r w:rsidRPr="0055426C">
        <w:rPr>
          <w:rFonts w:ascii="Arial" w:hAnsi="Arial" w:cs="Arial"/>
          <w:b/>
          <w:bCs/>
          <w:sz w:val="20"/>
          <w:szCs w:val="20"/>
        </w:rPr>
        <w:t xml:space="preserve">Solicitudes de uso: </w:t>
      </w:r>
      <w:r w:rsidRPr="0055426C">
        <w:rPr>
          <w:rFonts w:ascii="Arial" w:hAnsi="Arial" w:cs="Arial"/>
          <w:bCs/>
          <w:sz w:val="20"/>
          <w:szCs w:val="20"/>
        </w:rPr>
        <w:t>Las solicitudes se presentarán mediante los canales oficiales habilitados.</w:t>
      </w:r>
    </w:p>
    <w:p w14:paraId="21A696B1"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Administración o la organización administradora, dentro de las competencias que le hayan sido válidamente conferidas, resolverá conforme a disponibilidad, prioridad, características de la actividad, seguridad, protección del inmueble y demás criterios objetivos. La autorización del uso del Estadio no sustituirá ningún permiso sanitario, municipal, de seguridad, espectáculo público, concentración masiva o autorización exigida por otra autoridad.</w:t>
      </w:r>
    </w:p>
    <w:p w14:paraId="0EEFD048"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lastRenderedPageBreak/>
        <w:t xml:space="preserve">Artículo </w:t>
      </w:r>
      <w:proofErr w:type="gramStart"/>
      <w:r w:rsidRPr="0055426C">
        <w:rPr>
          <w:rFonts w:ascii="Arial" w:hAnsi="Arial" w:cs="Arial"/>
          <w:b/>
          <w:bCs/>
          <w:sz w:val="20"/>
          <w:szCs w:val="20"/>
        </w:rPr>
        <w:t>29.—</w:t>
      </w:r>
      <w:proofErr w:type="gramEnd"/>
      <w:r w:rsidRPr="0055426C">
        <w:rPr>
          <w:rFonts w:ascii="Arial" w:hAnsi="Arial" w:cs="Arial"/>
          <w:b/>
          <w:bCs/>
          <w:sz w:val="20"/>
          <w:szCs w:val="20"/>
        </w:rPr>
        <w:t xml:space="preserve">Usos ocasionales por terceros: </w:t>
      </w:r>
      <w:r w:rsidRPr="0055426C">
        <w:rPr>
          <w:rFonts w:ascii="Arial" w:hAnsi="Arial" w:cs="Arial"/>
          <w:bCs/>
          <w:sz w:val="20"/>
          <w:szCs w:val="20"/>
        </w:rPr>
        <w:t>La organización administradora podrá autorizar usos ocasionales de las instalaciones únicamente cuando:</w:t>
      </w:r>
    </w:p>
    <w:p w14:paraId="211614A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El convenio expresamente le otorgue esa facultad.</w:t>
      </w:r>
    </w:p>
    <w:p w14:paraId="6724055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El uso esté previsto o sea compatible con el plan de administración.</w:t>
      </w:r>
    </w:p>
    <w:p w14:paraId="6BEEBCCA"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No implique transferencia de la administración.</w:t>
      </w:r>
    </w:p>
    <w:p w14:paraId="40CD82D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No genere un derecho exclusivo permanente.</w:t>
      </w:r>
    </w:p>
    <w:p w14:paraId="2720B2CB"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Se respeten las condiciones económicas establecidas.</w:t>
      </w:r>
    </w:p>
    <w:p w14:paraId="2C77DCEE"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Se cuente con los permisos correspondientes.</w:t>
      </w:r>
    </w:p>
    <w:p w14:paraId="0D635F5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g) Los recursos obtenidos reciban el destino establecido por la ley, el Reglamento y/o el convenio.</w:t>
      </w:r>
    </w:p>
    <w:p w14:paraId="384E68D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El uso ocasional por terceros no constituirá por sí mismo una cesión de la administración.</w:t>
      </w:r>
    </w:p>
    <w:p w14:paraId="331A170B" w14:textId="77777777" w:rsidR="0055426C" w:rsidRPr="0055426C" w:rsidRDefault="0055426C" w:rsidP="0055426C">
      <w:pPr>
        <w:spacing w:after="0" w:line="240" w:lineRule="auto"/>
        <w:jc w:val="both"/>
        <w:rPr>
          <w:rFonts w:ascii="Arial" w:hAnsi="Arial" w:cs="Arial"/>
          <w:bCs/>
          <w:sz w:val="20"/>
          <w:szCs w:val="20"/>
        </w:rPr>
      </w:pPr>
    </w:p>
    <w:p w14:paraId="0AF2C748"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TÍTULO VI</w:t>
      </w:r>
    </w:p>
    <w:p w14:paraId="1ED3D72C"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MANTENIMIENTO, OBRAS Y PROTECCIÓN DEL PATRIMONIO</w:t>
      </w:r>
    </w:p>
    <w:p w14:paraId="3FF2676F"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30.—</w:t>
      </w:r>
      <w:proofErr w:type="gramEnd"/>
      <w:r w:rsidRPr="0055426C">
        <w:rPr>
          <w:rFonts w:ascii="Arial" w:hAnsi="Arial" w:cs="Arial"/>
          <w:b/>
          <w:bCs/>
          <w:sz w:val="20"/>
          <w:szCs w:val="20"/>
        </w:rPr>
        <w:t xml:space="preserve">Plan de mantenimiento: </w:t>
      </w:r>
      <w:r w:rsidRPr="0055426C">
        <w:rPr>
          <w:rFonts w:ascii="Arial" w:hAnsi="Arial" w:cs="Arial"/>
          <w:bCs/>
          <w:sz w:val="20"/>
          <w:szCs w:val="20"/>
        </w:rPr>
        <w:t>La persona u organización administradora deberá elaborar y ejecutar anualmente un Plan de Mantenimiento Preventivo y Correctivo.</w:t>
      </w:r>
    </w:p>
    <w:p w14:paraId="5176ECDB"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El Plan deberá contener:</w:t>
      </w:r>
    </w:p>
    <w:p w14:paraId="5A697E1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Diagnóstico del inmueble.</w:t>
      </w:r>
    </w:p>
    <w:p w14:paraId="1C177E8B" w14:textId="77777777" w:rsidR="0055426C" w:rsidRPr="0055426C" w:rsidRDefault="0055426C" w:rsidP="0055426C">
      <w:pPr>
        <w:spacing w:after="0" w:line="240" w:lineRule="auto"/>
        <w:jc w:val="both"/>
        <w:rPr>
          <w:rFonts w:ascii="Arial" w:hAnsi="Arial" w:cs="Arial"/>
          <w:bCs/>
          <w:sz w:val="20"/>
          <w:szCs w:val="20"/>
          <w:lang w:val="pt-PT"/>
        </w:rPr>
      </w:pPr>
      <w:r w:rsidRPr="0055426C">
        <w:rPr>
          <w:rFonts w:ascii="Arial" w:hAnsi="Arial" w:cs="Arial"/>
          <w:bCs/>
          <w:sz w:val="20"/>
          <w:szCs w:val="20"/>
          <w:lang w:val="pt-PT"/>
        </w:rPr>
        <w:t>b) Actividades programadas.</w:t>
      </w:r>
    </w:p>
    <w:p w14:paraId="4C5E5ED5" w14:textId="77777777" w:rsidR="0055426C" w:rsidRPr="0055426C" w:rsidRDefault="0055426C" w:rsidP="0055426C">
      <w:pPr>
        <w:spacing w:after="0" w:line="240" w:lineRule="auto"/>
        <w:jc w:val="both"/>
        <w:rPr>
          <w:rFonts w:ascii="Arial" w:hAnsi="Arial" w:cs="Arial"/>
          <w:bCs/>
          <w:sz w:val="20"/>
          <w:szCs w:val="20"/>
          <w:lang w:val="pt-PT"/>
        </w:rPr>
      </w:pPr>
      <w:r w:rsidRPr="0055426C">
        <w:rPr>
          <w:rFonts w:ascii="Arial" w:hAnsi="Arial" w:cs="Arial"/>
          <w:bCs/>
          <w:sz w:val="20"/>
          <w:szCs w:val="20"/>
          <w:lang w:val="pt-PT"/>
        </w:rPr>
        <w:t>c) Prioridades.</w:t>
      </w:r>
    </w:p>
    <w:p w14:paraId="5B68DE07"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Cronograma.</w:t>
      </w:r>
    </w:p>
    <w:p w14:paraId="611AABC6"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Presupuesto.</w:t>
      </w:r>
    </w:p>
    <w:p w14:paraId="573CC716"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Responsable.</w:t>
      </w:r>
    </w:p>
    <w:p w14:paraId="51AE7002"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g) Indicadores de cumplimiento.</w:t>
      </w:r>
    </w:p>
    <w:p w14:paraId="2C0BCE7A"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h) Bitácora de mantenimiento.</w:t>
      </w:r>
    </w:p>
    <w:p w14:paraId="5BFCD850"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31.—</w:t>
      </w:r>
      <w:proofErr w:type="gramEnd"/>
      <w:r w:rsidRPr="0055426C">
        <w:rPr>
          <w:rFonts w:ascii="Arial" w:hAnsi="Arial" w:cs="Arial"/>
          <w:b/>
          <w:bCs/>
          <w:sz w:val="20"/>
          <w:szCs w:val="20"/>
        </w:rPr>
        <w:t xml:space="preserve">Obras y mejoras: </w:t>
      </w:r>
      <w:r w:rsidRPr="0055426C">
        <w:rPr>
          <w:rFonts w:ascii="Arial" w:hAnsi="Arial" w:cs="Arial"/>
          <w:bCs/>
          <w:sz w:val="20"/>
          <w:szCs w:val="20"/>
        </w:rPr>
        <w:t>Toda obra que exceda el mantenimiento ordinario requerirá autorización previa de la dependencia municipal competente.</w:t>
      </w:r>
    </w:p>
    <w:p w14:paraId="0E03658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Cuando corresponda deberá existir:</w:t>
      </w:r>
    </w:p>
    <w:p w14:paraId="335ADE8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Expediente técnico.</w:t>
      </w:r>
    </w:p>
    <w:p w14:paraId="4017F63A"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Diseños.</w:t>
      </w:r>
    </w:p>
    <w:p w14:paraId="724DDB58"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Permisos.</w:t>
      </w:r>
    </w:p>
    <w:p w14:paraId="2FE4BBBA"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Presupuesto.</w:t>
      </w:r>
    </w:p>
    <w:p w14:paraId="750292A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Procedimiento de contratación aplicable.</w:t>
      </w:r>
    </w:p>
    <w:p w14:paraId="7EC1FB51"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Supervisión técnica.</w:t>
      </w:r>
    </w:p>
    <w:p w14:paraId="72D35805"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g) Recepción de la obra.</w:t>
      </w:r>
    </w:p>
    <w:p w14:paraId="30E4B2E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h) Actualización del inventario.</w:t>
      </w:r>
    </w:p>
    <w:p w14:paraId="50B0F25B"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 xml:space="preserve">Las construcciones y mejoras permanentes incorporadas al inmueble pasarán a formar parte del patrimonio municipal, sin derecho a compensación. </w:t>
      </w:r>
    </w:p>
    <w:p w14:paraId="2F4E791B"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32.—</w:t>
      </w:r>
      <w:proofErr w:type="gramEnd"/>
      <w:r w:rsidRPr="0055426C">
        <w:rPr>
          <w:rFonts w:ascii="Arial" w:hAnsi="Arial" w:cs="Arial"/>
          <w:b/>
          <w:bCs/>
          <w:sz w:val="20"/>
          <w:szCs w:val="20"/>
        </w:rPr>
        <w:t xml:space="preserve">Inventario: </w:t>
      </w:r>
      <w:r w:rsidRPr="0055426C">
        <w:rPr>
          <w:rFonts w:ascii="Arial" w:hAnsi="Arial" w:cs="Arial"/>
          <w:bCs/>
          <w:sz w:val="20"/>
          <w:szCs w:val="20"/>
        </w:rPr>
        <w:t>El Departamento de Control de Instalaciones Municipales</w:t>
      </w:r>
      <w:r w:rsidRPr="0055426C">
        <w:rPr>
          <w:rFonts w:ascii="Arial" w:hAnsi="Arial" w:cs="Arial"/>
          <w:b/>
          <w:bCs/>
          <w:sz w:val="20"/>
          <w:szCs w:val="20"/>
        </w:rPr>
        <w:t xml:space="preserve"> </w:t>
      </w:r>
      <w:r w:rsidRPr="0055426C">
        <w:rPr>
          <w:rFonts w:ascii="Arial" w:hAnsi="Arial" w:cs="Arial"/>
          <w:bCs/>
          <w:sz w:val="20"/>
          <w:szCs w:val="20"/>
        </w:rPr>
        <w:t>deberá mantener un inventario actualizado de los bienes municipales ubicados en el Estadio. Al inicio y al final de cada convenio o contrato se levantará acta detallada del inmueble y sus bienes.</w:t>
      </w:r>
      <w:r w:rsidRPr="0055426C">
        <w:rPr>
          <w:rFonts w:ascii="Arial" w:hAnsi="Arial" w:cs="Arial"/>
          <w:b/>
          <w:bCs/>
          <w:sz w:val="20"/>
          <w:szCs w:val="20"/>
        </w:rPr>
        <w:t xml:space="preserve"> </w:t>
      </w:r>
      <w:r w:rsidRPr="0055426C">
        <w:rPr>
          <w:rFonts w:ascii="Arial" w:hAnsi="Arial" w:cs="Arial"/>
          <w:bCs/>
          <w:sz w:val="20"/>
          <w:szCs w:val="20"/>
        </w:rPr>
        <w:t>El inventario deberá actualizarse cuando se incorporen, sustituyan, retiren o destruyan activos.</w:t>
      </w:r>
    </w:p>
    <w:p w14:paraId="7088D7CC"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33.—</w:t>
      </w:r>
      <w:proofErr w:type="gramEnd"/>
      <w:r w:rsidRPr="0055426C">
        <w:rPr>
          <w:rFonts w:ascii="Arial" w:hAnsi="Arial" w:cs="Arial"/>
          <w:b/>
          <w:bCs/>
          <w:sz w:val="20"/>
          <w:szCs w:val="20"/>
        </w:rPr>
        <w:t xml:space="preserve">Seguros: </w:t>
      </w:r>
      <w:r w:rsidRPr="0055426C">
        <w:rPr>
          <w:rFonts w:ascii="Arial" w:hAnsi="Arial" w:cs="Arial"/>
          <w:bCs/>
          <w:sz w:val="20"/>
          <w:szCs w:val="20"/>
        </w:rPr>
        <w:t>El instrumento de administración determinará las pólizas y coberturas necesarias y obligatoria según la naturaleza de la gestión, actividades, infraestructura y riesgos.</w:t>
      </w:r>
      <w:r w:rsidRPr="0055426C">
        <w:rPr>
          <w:rFonts w:ascii="Arial" w:hAnsi="Arial" w:cs="Arial"/>
          <w:b/>
          <w:bCs/>
          <w:sz w:val="20"/>
          <w:szCs w:val="20"/>
        </w:rPr>
        <w:t xml:space="preserve"> </w:t>
      </w:r>
      <w:r w:rsidRPr="0055426C">
        <w:rPr>
          <w:rFonts w:ascii="Arial" w:hAnsi="Arial" w:cs="Arial"/>
          <w:bCs/>
          <w:sz w:val="20"/>
          <w:szCs w:val="20"/>
        </w:rPr>
        <w:t>Los organizadores de eventos serán obligados a mantener pólizas adicionales de responsabilidad civil cuando resulte razonable y proporcional.</w:t>
      </w:r>
    </w:p>
    <w:p w14:paraId="4CCBA8E4" w14:textId="77777777" w:rsidR="0055426C" w:rsidRPr="0055426C" w:rsidRDefault="0055426C" w:rsidP="0055426C">
      <w:pPr>
        <w:spacing w:after="0" w:line="240" w:lineRule="auto"/>
        <w:jc w:val="both"/>
        <w:rPr>
          <w:rFonts w:ascii="Arial" w:hAnsi="Arial" w:cs="Arial"/>
          <w:b/>
          <w:bCs/>
          <w:sz w:val="20"/>
          <w:szCs w:val="20"/>
        </w:rPr>
      </w:pPr>
    </w:p>
    <w:p w14:paraId="3C1B0F5D"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TÍTULO VII</w:t>
      </w:r>
    </w:p>
    <w:p w14:paraId="75294922"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RÉGIMEN ECONÓMICO Y FINANCIERO</w:t>
      </w:r>
    </w:p>
    <w:p w14:paraId="4BE7A233"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34.—</w:t>
      </w:r>
      <w:proofErr w:type="gramEnd"/>
      <w:r w:rsidRPr="0055426C">
        <w:rPr>
          <w:rFonts w:ascii="Arial" w:hAnsi="Arial" w:cs="Arial"/>
          <w:b/>
          <w:bCs/>
          <w:sz w:val="20"/>
          <w:szCs w:val="20"/>
        </w:rPr>
        <w:t xml:space="preserve">Diferenciación de ingresos: </w:t>
      </w:r>
      <w:r w:rsidRPr="0055426C">
        <w:rPr>
          <w:rFonts w:ascii="Arial" w:hAnsi="Arial" w:cs="Arial"/>
          <w:bCs/>
          <w:sz w:val="20"/>
          <w:szCs w:val="20"/>
        </w:rPr>
        <w:t>Los ingresos relacionados con el Estadio deberán clasificarse según su fuente y régimen jurídico.</w:t>
      </w:r>
    </w:p>
    <w:p w14:paraId="10465A51"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Se distinguirán al menos:</w:t>
      </w:r>
    </w:p>
    <w:p w14:paraId="76039C74"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Ingresos municipales.</w:t>
      </w:r>
    </w:p>
    <w:p w14:paraId="039615D7"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Recursos del Comité Cantonal de Deportes y Recreación.</w:t>
      </w:r>
    </w:p>
    <w:p w14:paraId="2FD08AC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Importes cobrados por organizaciones autorizadas conforme al artículo 180 del Código Municipal.</w:t>
      </w:r>
    </w:p>
    <w:p w14:paraId="6E6904E7"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Recursos obtenidos por organizaciones administradoras conforme a otros convenios legalmente autorizados.</w:t>
      </w:r>
    </w:p>
    <w:p w14:paraId="4DEE017C"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lastRenderedPageBreak/>
        <w:t>e) Cánones o contraprestaciones contractuales.</w:t>
      </w:r>
    </w:p>
    <w:p w14:paraId="3EBBDDB8"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Ingresos derivados de actividades comerciales extraordinarias.</w:t>
      </w:r>
    </w:p>
    <w:p w14:paraId="4835B65B"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g) Patrocinios y publicidad.</w:t>
      </w:r>
    </w:p>
    <w:p w14:paraId="4FA1AB15"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existencia de distintas fuentes de ingreso no autoriza su mezcla contable.</w:t>
      </w:r>
    </w:p>
    <w:p w14:paraId="082D1F4C"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35.—Importes por servicios deportivos: </w:t>
      </w:r>
      <w:r w:rsidRPr="0055426C">
        <w:rPr>
          <w:rFonts w:ascii="Arial" w:hAnsi="Arial" w:cs="Arial"/>
          <w:bCs/>
          <w:sz w:val="20"/>
          <w:szCs w:val="20"/>
        </w:rPr>
        <w:t>Las organizaciones autorizadas conforme al artículo 180 del Código Municipal podrán cobrar importes por concepto de servicios deportivos brindados a terceros en las instalaciones cedidas en administración.</w:t>
      </w:r>
      <w:r w:rsidRPr="0055426C">
        <w:rPr>
          <w:rFonts w:ascii="Arial" w:hAnsi="Arial" w:cs="Arial"/>
          <w:b/>
          <w:bCs/>
          <w:sz w:val="20"/>
          <w:szCs w:val="20"/>
        </w:rPr>
        <w:t xml:space="preserve"> </w:t>
      </w:r>
      <w:r w:rsidRPr="0055426C">
        <w:rPr>
          <w:rFonts w:ascii="Arial" w:hAnsi="Arial" w:cs="Arial"/>
          <w:bCs/>
          <w:sz w:val="20"/>
          <w:szCs w:val="20"/>
        </w:rPr>
        <w:t>Los montos deberán responder a criterios objetivos, transparentes y razonables y deberán ser informados públicamente.</w:t>
      </w:r>
      <w:r w:rsidRPr="0055426C">
        <w:rPr>
          <w:rFonts w:ascii="Arial" w:hAnsi="Arial" w:cs="Arial"/>
          <w:b/>
          <w:bCs/>
          <w:sz w:val="20"/>
          <w:szCs w:val="20"/>
        </w:rPr>
        <w:t xml:space="preserve"> </w:t>
      </w:r>
      <w:r w:rsidRPr="0055426C">
        <w:rPr>
          <w:rFonts w:ascii="Arial" w:hAnsi="Arial" w:cs="Arial"/>
          <w:bCs/>
          <w:sz w:val="20"/>
          <w:szCs w:val="20"/>
        </w:rPr>
        <w:t>El convenio establecerá el procedimiento para su determinación, revisión, registro y fiscalización.</w:t>
      </w:r>
      <w:r w:rsidRPr="0055426C">
        <w:rPr>
          <w:rFonts w:ascii="Arial" w:hAnsi="Arial" w:cs="Arial"/>
          <w:b/>
          <w:bCs/>
          <w:sz w:val="20"/>
          <w:szCs w:val="20"/>
        </w:rPr>
        <w:t xml:space="preserve"> </w:t>
      </w:r>
      <w:r w:rsidRPr="0055426C">
        <w:rPr>
          <w:rFonts w:ascii="Arial" w:hAnsi="Arial" w:cs="Arial"/>
          <w:bCs/>
          <w:sz w:val="20"/>
          <w:szCs w:val="20"/>
        </w:rPr>
        <w:t>Los recursos obtenidos tendrán exclusivamente el destino establecido por el artículo 180 del Código Municipal.</w:t>
      </w:r>
      <w:r w:rsidRPr="0055426C">
        <w:rPr>
          <w:rFonts w:ascii="Arial" w:hAnsi="Arial" w:cs="Arial"/>
          <w:b/>
          <w:bCs/>
          <w:sz w:val="20"/>
          <w:szCs w:val="20"/>
        </w:rPr>
        <w:t xml:space="preserve"> </w:t>
      </w:r>
      <w:r w:rsidRPr="0055426C">
        <w:rPr>
          <w:rFonts w:ascii="Arial" w:hAnsi="Arial" w:cs="Arial"/>
          <w:bCs/>
          <w:sz w:val="20"/>
          <w:szCs w:val="20"/>
        </w:rPr>
        <w:t>Estos importes deberán distinguirse de los precios públicos, tasas, cánones, entradas comerciales y demás categorías económicas que se rijan por otros títulos jurídicos.</w:t>
      </w:r>
    </w:p>
    <w:p w14:paraId="461651D8"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36.—Recursos de organizaciones administradoras de instalaciones asociadas: </w:t>
      </w:r>
      <w:r w:rsidRPr="0055426C">
        <w:rPr>
          <w:rFonts w:ascii="Arial" w:hAnsi="Arial" w:cs="Arial"/>
          <w:bCs/>
          <w:sz w:val="20"/>
          <w:szCs w:val="20"/>
        </w:rPr>
        <w:t>Cuando la administración de una instalación, edificación, local, área comunal u otro espacio municipal asociado al complejo del Estadio haya sido otorgada mediante convenio conforme al régimen general municipal, los recursos obtenidos por su uso, aprovechamiento o usufructo deberán destinarse exclusivamente a las finalidades autorizadas por el Reglamento de Administración, Uso y Funcionamiento de los Inmuebles e Instalaciones Comunales, Deportivas y Parques Públicos de la Municipalidad de Goicoechea, el presente Reglamento y el convenio respectivo.</w:t>
      </w:r>
      <w:r w:rsidRPr="0055426C">
        <w:rPr>
          <w:rFonts w:ascii="Arial" w:hAnsi="Arial" w:cs="Arial"/>
          <w:b/>
          <w:bCs/>
          <w:sz w:val="20"/>
          <w:szCs w:val="20"/>
        </w:rPr>
        <w:t xml:space="preserve"> </w:t>
      </w:r>
      <w:r w:rsidRPr="0055426C">
        <w:rPr>
          <w:rFonts w:ascii="Arial" w:hAnsi="Arial" w:cs="Arial"/>
          <w:bCs/>
          <w:sz w:val="20"/>
          <w:szCs w:val="20"/>
        </w:rPr>
        <w:t>La organización administradora deberá mantener registros contables independientes que permitan identificar con claridad los ingresos, egresos, inversiones, gastos de mantenimiento, mejoras y demás movimientos económicos correspondientes exclusivamente a la instalación o espacio dado en administración.</w:t>
      </w:r>
      <w:r w:rsidRPr="0055426C">
        <w:rPr>
          <w:rFonts w:ascii="Arial" w:hAnsi="Arial" w:cs="Arial"/>
          <w:b/>
          <w:bCs/>
          <w:sz w:val="20"/>
          <w:szCs w:val="20"/>
        </w:rPr>
        <w:t xml:space="preserve"> </w:t>
      </w:r>
      <w:r w:rsidRPr="0055426C">
        <w:rPr>
          <w:rFonts w:ascii="Arial" w:hAnsi="Arial" w:cs="Arial"/>
          <w:bCs/>
          <w:sz w:val="20"/>
          <w:szCs w:val="20"/>
        </w:rPr>
        <w:t>Los recursos generados por dichas instalaciones no podrán confundirse con los recursos derivados de la administración general del Estadio ni con fondos propios de la organización administradora, y deberán mantenerse sujetos a los mecanismos de rendición de cuentas, control y fiscalización establecidos en el ordenamiento jurídico y en el convenio respectivo.</w:t>
      </w:r>
    </w:p>
    <w:p w14:paraId="614E9DE3"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37.—</w:t>
      </w:r>
      <w:proofErr w:type="gramEnd"/>
      <w:r w:rsidRPr="0055426C">
        <w:rPr>
          <w:rFonts w:ascii="Arial" w:hAnsi="Arial" w:cs="Arial"/>
          <w:b/>
          <w:bCs/>
          <w:sz w:val="20"/>
          <w:szCs w:val="20"/>
        </w:rPr>
        <w:t xml:space="preserve">Cuenta y registros: </w:t>
      </w:r>
      <w:r w:rsidRPr="0055426C">
        <w:rPr>
          <w:rFonts w:ascii="Arial" w:hAnsi="Arial" w:cs="Arial"/>
          <w:bCs/>
          <w:sz w:val="20"/>
          <w:szCs w:val="20"/>
        </w:rPr>
        <w:t>Cuando una organización privada administre recursos generados por el Estadio deberá utilizar una cuenta bancaria exclusiva y registros contables separados que permitan trazabilidad completa e independencia respecto de sus restantes recursos, se prohíbe la utilización de cuentas personales y las mezclas de fondos.</w:t>
      </w:r>
      <w:r w:rsidRPr="0055426C">
        <w:rPr>
          <w:rFonts w:ascii="Arial" w:hAnsi="Arial" w:cs="Arial"/>
          <w:b/>
          <w:bCs/>
          <w:sz w:val="20"/>
          <w:szCs w:val="20"/>
        </w:rPr>
        <w:t xml:space="preserve"> </w:t>
      </w:r>
      <w:r w:rsidRPr="0055426C">
        <w:rPr>
          <w:rFonts w:ascii="Arial" w:hAnsi="Arial" w:cs="Arial"/>
          <w:bCs/>
          <w:sz w:val="20"/>
          <w:szCs w:val="20"/>
        </w:rPr>
        <w:t>Todo ingreso deberá contar con respaldo documental.</w:t>
      </w:r>
      <w:r w:rsidRPr="0055426C">
        <w:rPr>
          <w:rFonts w:ascii="Arial" w:hAnsi="Arial" w:cs="Arial"/>
          <w:b/>
          <w:bCs/>
          <w:sz w:val="20"/>
          <w:szCs w:val="20"/>
        </w:rPr>
        <w:t xml:space="preserve"> </w:t>
      </w:r>
    </w:p>
    <w:p w14:paraId="200C062D"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38.—</w:t>
      </w:r>
      <w:proofErr w:type="gramEnd"/>
      <w:r w:rsidRPr="0055426C">
        <w:rPr>
          <w:rFonts w:ascii="Arial" w:hAnsi="Arial" w:cs="Arial"/>
          <w:b/>
          <w:bCs/>
          <w:sz w:val="20"/>
          <w:szCs w:val="20"/>
        </w:rPr>
        <w:t xml:space="preserve">Rendición de cuentas: </w:t>
      </w:r>
      <w:r w:rsidRPr="0055426C">
        <w:rPr>
          <w:rFonts w:ascii="Arial" w:hAnsi="Arial" w:cs="Arial"/>
          <w:bCs/>
          <w:sz w:val="20"/>
          <w:szCs w:val="20"/>
        </w:rPr>
        <w:t>La organización administradora deberá presentar a la Alcaldía o a la dependencia municipal designada un informe anual que comprenda como mínimo:</w:t>
      </w:r>
    </w:p>
    <w:p w14:paraId="0855B7BB"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Estado de ingresos y egresos.</w:t>
      </w:r>
    </w:p>
    <w:p w14:paraId="5B762A11"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Conciliaciones bancarias.</w:t>
      </w:r>
    </w:p>
    <w:p w14:paraId="5F38C3A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Detalle de gastos.</w:t>
      </w:r>
    </w:p>
    <w:p w14:paraId="1FB72368"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Inversiones.</w:t>
      </w:r>
    </w:p>
    <w:p w14:paraId="4FD60DAB"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Mantenimiento ejecutado.</w:t>
      </w:r>
    </w:p>
    <w:p w14:paraId="61D73E7F" w14:textId="77777777" w:rsidR="0055426C" w:rsidRPr="0055426C" w:rsidRDefault="0055426C" w:rsidP="0055426C">
      <w:pPr>
        <w:spacing w:after="0" w:line="240" w:lineRule="auto"/>
        <w:jc w:val="both"/>
        <w:rPr>
          <w:rFonts w:ascii="Arial" w:hAnsi="Arial" w:cs="Arial"/>
          <w:bCs/>
          <w:sz w:val="20"/>
          <w:szCs w:val="20"/>
          <w:lang w:val="pt-PT"/>
        </w:rPr>
      </w:pPr>
      <w:r w:rsidRPr="0055426C">
        <w:rPr>
          <w:rFonts w:ascii="Arial" w:hAnsi="Arial" w:cs="Arial"/>
          <w:bCs/>
          <w:sz w:val="20"/>
          <w:szCs w:val="20"/>
          <w:lang w:val="pt-PT"/>
        </w:rPr>
        <w:t>f) Inventario.</w:t>
      </w:r>
    </w:p>
    <w:p w14:paraId="19858520" w14:textId="77777777" w:rsidR="0055426C" w:rsidRPr="0055426C" w:rsidRDefault="0055426C" w:rsidP="0055426C">
      <w:pPr>
        <w:spacing w:after="0" w:line="240" w:lineRule="auto"/>
        <w:jc w:val="both"/>
        <w:rPr>
          <w:rFonts w:ascii="Arial" w:hAnsi="Arial" w:cs="Arial"/>
          <w:bCs/>
          <w:sz w:val="20"/>
          <w:szCs w:val="20"/>
          <w:lang w:val="pt-PT"/>
        </w:rPr>
      </w:pPr>
      <w:r w:rsidRPr="0055426C">
        <w:rPr>
          <w:rFonts w:ascii="Arial" w:hAnsi="Arial" w:cs="Arial"/>
          <w:bCs/>
          <w:sz w:val="20"/>
          <w:szCs w:val="20"/>
          <w:lang w:val="pt-PT"/>
        </w:rPr>
        <w:t>g) Actividades realizadas.</w:t>
      </w:r>
    </w:p>
    <w:p w14:paraId="3250E130" w14:textId="77777777" w:rsidR="0055426C" w:rsidRPr="0055426C" w:rsidRDefault="0055426C" w:rsidP="0055426C">
      <w:pPr>
        <w:spacing w:after="0" w:line="240" w:lineRule="auto"/>
        <w:jc w:val="both"/>
        <w:rPr>
          <w:rFonts w:ascii="Arial" w:hAnsi="Arial" w:cs="Arial"/>
          <w:bCs/>
          <w:sz w:val="20"/>
          <w:szCs w:val="20"/>
          <w:lang w:val="pt-PT"/>
        </w:rPr>
      </w:pPr>
      <w:r w:rsidRPr="0055426C">
        <w:rPr>
          <w:rFonts w:ascii="Arial" w:hAnsi="Arial" w:cs="Arial"/>
          <w:bCs/>
          <w:sz w:val="20"/>
          <w:szCs w:val="20"/>
          <w:lang w:val="pt-PT"/>
        </w:rPr>
        <w:t>h) Uso comunitario.</w:t>
      </w:r>
    </w:p>
    <w:p w14:paraId="63DBA9A1"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i) Contratos, patrocinios o negocios vinculados al inmueble, cuando corresponda.</w:t>
      </w:r>
    </w:p>
    <w:p w14:paraId="7D07725B"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j) Cumplimiento de indicadores.</w:t>
      </w:r>
    </w:p>
    <w:p w14:paraId="21BB0A57"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k) Estado de las obligaciones por servicios públicos.</w:t>
      </w:r>
    </w:p>
    <w:p w14:paraId="1F887A0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 Incumplimientos, contingencias y riesgos detectados.</w:t>
      </w:r>
    </w:p>
    <w:p w14:paraId="51BF4BBE"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Administración consolidará la información y la someterá a conocimiento del Concejo Municipal.</w:t>
      </w:r>
    </w:p>
    <w:p w14:paraId="32C99E01"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Lo anterior se entiende sin perjuicio de las potestades de la Auditoría Interna y de la Contraloría General de la República.</w:t>
      </w:r>
    </w:p>
    <w:p w14:paraId="7BBF4801"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TÍTULO VIII</w:t>
      </w:r>
    </w:p>
    <w:p w14:paraId="743A3EAE"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EXPLOTACIONES ECONÓMICAS, PUBLICIDAD, PATROCINIOS Y SERVICIOS COMPLEMENTARIOS</w:t>
      </w:r>
    </w:p>
    <w:p w14:paraId="79837DD6"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39.—</w:t>
      </w:r>
      <w:proofErr w:type="gramEnd"/>
      <w:r w:rsidRPr="0055426C">
        <w:rPr>
          <w:rFonts w:ascii="Arial" w:hAnsi="Arial" w:cs="Arial"/>
          <w:b/>
          <w:bCs/>
          <w:sz w:val="20"/>
          <w:szCs w:val="20"/>
        </w:rPr>
        <w:t xml:space="preserve">Regla general: </w:t>
      </w:r>
      <w:r w:rsidRPr="0055426C">
        <w:rPr>
          <w:rFonts w:ascii="Arial" w:hAnsi="Arial" w:cs="Arial"/>
          <w:bCs/>
          <w:sz w:val="20"/>
          <w:szCs w:val="20"/>
        </w:rPr>
        <w:t>La administración del Estadio no confiere automáticamente a la organización administradora autorización para otorgar a terceros derechos permanentes o exclusivos de explotación económica.</w:t>
      </w:r>
      <w:r w:rsidRPr="0055426C">
        <w:rPr>
          <w:rFonts w:ascii="Arial" w:hAnsi="Arial" w:cs="Arial"/>
          <w:b/>
          <w:bCs/>
          <w:sz w:val="20"/>
          <w:szCs w:val="20"/>
        </w:rPr>
        <w:t xml:space="preserve"> </w:t>
      </w:r>
      <w:r w:rsidRPr="0055426C">
        <w:rPr>
          <w:rFonts w:ascii="Arial" w:hAnsi="Arial" w:cs="Arial"/>
          <w:bCs/>
          <w:sz w:val="20"/>
          <w:szCs w:val="20"/>
        </w:rPr>
        <w:t>Cada actividad deberá analizarse de acuerdo con su naturaleza jurídica.</w:t>
      </w:r>
    </w:p>
    <w:p w14:paraId="447F78D9"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lastRenderedPageBreak/>
        <w:t xml:space="preserve">Artículo </w:t>
      </w:r>
      <w:proofErr w:type="gramStart"/>
      <w:r w:rsidRPr="0055426C">
        <w:rPr>
          <w:rFonts w:ascii="Arial" w:hAnsi="Arial" w:cs="Arial"/>
          <w:b/>
          <w:bCs/>
          <w:sz w:val="20"/>
          <w:szCs w:val="20"/>
        </w:rPr>
        <w:t>40.—</w:t>
      </w:r>
      <w:proofErr w:type="gramEnd"/>
      <w:r w:rsidRPr="0055426C">
        <w:rPr>
          <w:rFonts w:ascii="Arial" w:hAnsi="Arial" w:cs="Arial"/>
          <w:b/>
          <w:bCs/>
          <w:sz w:val="20"/>
          <w:szCs w:val="20"/>
        </w:rPr>
        <w:t xml:space="preserve">Publicidad y patrocinios: </w:t>
      </w:r>
      <w:r w:rsidRPr="0055426C">
        <w:rPr>
          <w:rFonts w:ascii="Arial" w:hAnsi="Arial" w:cs="Arial"/>
          <w:bCs/>
          <w:sz w:val="20"/>
          <w:szCs w:val="20"/>
        </w:rPr>
        <w:t>La publicidad y los patrocinios deberán cumplir la legislación nacional, municipal y las restricciones aplicables al inmueble.</w:t>
      </w:r>
      <w:r w:rsidRPr="0055426C">
        <w:rPr>
          <w:rFonts w:ascii="Arial" w:hAnsi="Arial" w:cs="Arial"/>
          <w:b/>
          <w:bCs/>
          <w:sz w:val="20"/>
          <w:szCs w:val="20"/>
        </w:rPr>
        <w:t xml:space="preserve"> </w:t>
      </w:r>
      <w:r w:rsidRPr="0055426C">
        <w:rPr>
          <w:rFonts w:ascii="Arial" w:hAnsi="Arial" w:cs="Arial"/>
          <w:bCs/>
          <w:sz w:val="20"/>
          <w:szCs w:val="20"/>
        </w:rPr>
        <w:t>Cuando impliquen el otorgamiento de espacios de aprovechamiento económico, exclusividad, contraprestación, canje o explotación estable, deberá determinarse previamente el procedimiento jurídico aplicable.</w:t>
      </w:r>
      <w:r w:rsidRPr="0055426C">
        <w:rPr>
          <w:rFonts w:ascii="Arial" w:hAnsi="Arial" w:cs="Arial"/>
          <w:b/>
          <w:bCs/>
          <w:sz w:val="20"/>
          <w:szCs w:val="20"/>
        </w:rPr>
        <w:t xml:space="preserve"> </w:t>
      </w:r>
      <w:r w:rsidRPr="0055426C">
        <w:rPr>
          <w:rFonts w:ascii="Arial" w:hAnsi="Arial" w:cs="Arial"/>
          <w:bCs/>
          <w:sz w:val="20"/>
          <w:szCs w:val="20"/>
        </w:rPr>
        <w:t>Los canjes deberán contar con valoración económica verificable y registro íntegro de las prestaciones recibidas.</w:t>
      </w:r>
    </w:p>
    <w:p w14:paraId="694BEB48"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41.—</w:t>
      </w:r>
      <w:proofErr w:type="gramEnd"/>
      <w:r w:rsidRPr="0055426C">
        <w:rPr>
          <w:rFonts w:ascii="Arial" w:hAnsi="Arial" w:cs="Arial"/>
          <w:b/>
          <w:bCs/>
          <w:sz w:val="20"/>
          <w:szCs w:val="20"/>
        </w:rPr>
        <w:t xml:space="preserve">Soda, cafetería, locales y otras explotaciones permanentes. </w:t>
      </w:r>
      <w:r w:rsidRPr="0055426C">
        <w:rPr>
          <w:rFonts w:ascii="Arial" w:hAnsi="Arial" w:cs="Arial"/>
          <w:bCs/>
          <w:sz w:val="20"/>
          <w:szCs w:val="20"/>
        </w:rPr>
        <w:t>La explotación permanente o exclusiva de sodas, cafeterías, restaurantes, locales comerciales, estacionamientos u otros espacios por operadores económicos deberá someterse al título jurídico y al procedimiento correspondiente, de conformidad con la Ley General de Contratación Pública y demás normativa aplicable. El permiso de uso o el convenio únicamente procederán cuando resulten compatibles con la naturaleza precaria, limitada y revocable de la ocupación y no podrán utilizarse para encubrir una explotación económica que deba someterse a contratación pública.</w:t>
      </w:r>
    </w:p>
    <w:p w14:paraId="208E09D1"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explotación de la soda y cafetería será adjudicada, mediante el procedimiento de contratación pública que corresponda, por el Comité Cantonal de Deportes y Recreación, la Municipalidad o la entidad pública que ostente válidamente la competencia sobre el inmueble. El plazo máximo será de dos años, incluidas sus prórrogas, las cuales no serán automáticas y deberán encontrarse previstas y debidamente motivadas.</w:t>
      </w:r>
    </w:p>
    <w:p w14:paraId="041B568B"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persona adjudicataria, permisionaria o beneficiaria del convenio deberá rendir informes semestrales sobre los ingresos generados, el pago del canon o contraprestación, el cumplimiento de sus obligaciones y las mejoras autorizadas en el inmueble. Los pagos y demás recursos correspondientes a la Administración deberán gestionarse mediante mecanismos bancarios o electrónicos que garanticen su identificación, control y trazabilidad.</w:t>
      </w:r>
    </w:p>
    <w:p w14:paraId="27D3CE24"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El régimen de prohibiciones establecido en los artículos 24 a 30 de la Ley General de Contratación Pública será aplicable a la contratación, al permiso de uso, al convenio o a cualquier otro instrumento mediante el cual se otorgue la explotación económica de estos espacios. En consecuencia, no podrá otorgarse el beneficio al cónyuge, pareja en unión de hecho ni a parientes por consanguinidad o afinidad hasta el tercer grado inclusive de quienes originen la prohibición, salvo los supuestos de desafectación autorizados por la ley. Quienes intervengan en la decisión deberán observar el deber de probidad establecido en la Ley contra la Corrupción y el Enriquecimiento Ilícito en la Función Pública, declarar cualquier conflicto de interés y abstenerse de participar cuando corresponda.</w:t>
      </w:r>
    </w:p>
    <w:p w14:paraId="03980509" w14:textId="77777777" w:rsidR="0055426C" w:rsidRPr="0055426C" w:rsidRDefault="0055426C" w:rsidP="0055426C">
      <w:pPr>
        <w:spacing w:after="0" w:line="240" w:lineRule="auto"/>
        <w:jc w:val="both"/>
        <w:rPr>
          <w:rFonts w:ascii="Arial" w:hAnsi="Arial" w:cs="Arial"/>
          <w:b/>
          <w:bCs/>
          <w:sz w:val="20"/>
          <w:szCs w:val="20"/>
        </w:rPr>
      </w:pPr>
    </w:p>
    <w:p w14:paraId="7A05E875"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TÍTULO IX</w:t>
      </w:r>
    </w:p>
    <w:p w14:paraId="4FB3C790"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SEGURIDAD, RIESGOS Y RESPONSABILIDAD</w:t>
      </w:r>
    </w:p>
    <w:p w14:paraId="3EFBD147"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42.—</w:t>
      </w:r>
      <w:proofErr w:type="gramEnd"/>
      <w:r w:rsidRPr="0055426C">
        <w:rPr>
          <w:rFonts w:ascii="Arial" w:hAnsi="Arial" w:cs="Arial"/>
          <w:b/>
          <w:bCs/>
          <w:sz w:val="20"/>
          <w:szCs w:val="20"/>
        </w:rPr>
        <w:t xml:space="preserve">Seguridad y aforo: </w:t>
      </w:r>
      <w:r w:rsidRPr="0055426C">
        <w:rPr>
          <w:rFonts w:ascii="Arial" w:hAnsi="Arial" w:cs="Arial"/>
          <w:bCs/>
          <w:sz w:val="20"/>
          <w:szCs w:val="20"/>
        </w:rPr>
        <w:t>Todo uso del Estadio deberá respetar las normas vigentes en materia de salud, prevención de incendios, emergencias, seguridad humana, accesibilidad y aforo.</w:t>
      </w:r>
      <w:r w:rsidRPr="0055426C">
        <w:rPr>
          <w:rFonts w:ascii="Arial" w:hAnsi="Arial" w:cs="Arial"/>
          <w:b/>
          <w:bCs/>
          <w:sz w:val="20"/>
          <w:szCs w:val="20"/>
        </w:rPr>
        <w:t xml:space="preserve"> </w:t>
      </w:r>
      <w:r w:rsidRPr="0055426C">
        <w:rPr>
          <w:rFonts w:ascii="Arial" w:hAnsi="Arial" w:cs="Arial"/>
          <w:bCs/>
          <w:sz w:val="20"/>
          <w:szCs w:val="20"/>
        </w:rPr>
        <w:t>El organizador será responsable de obtener los permisos exigidos por las autoridades competentes.</w:t>
      </w:r>
    </w:p>
    <w:p w14:paraId="5D987532"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43.—</w:t>
      </w:r>
      <w:proofErr w:type="gramEnd"/>
      <w:r w:rsidRPr="0055426C">
        <w:rPr>
          <w:rFonts w:ascii="Arial" w:hAnsi="Arial" w:cs="Arial"/>
          <w:b/>
          <w:bCs/>
          <w:sz w:val="20"/>
          <w:szCs w:val="20"/>
        </w:rPr>
        <w:t xml:space="preserve">Gestión de riesgos: </w:t>
      </w:r>
      <w:r w:rsidRPr="0055426C">
        <w:rPr>
          <w:rFonts w:ascii="Arial" w:hAnsi="Arial" w:cs="Arial"/>
          <w:bCs/>
          <w:sz w:val="20"/>
          <w:szCs w:val="20"/>
        </w:rPr>
        <w:t>La Administración Municipal establecerá los mecanismos generales de gestión de riesgos relacionados con el Estadio.</w:t>
      </w:r>
    </w:p>
    <w:p w14:paraId="3CD4E84A"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persona administradora deberá:</w:t>
      </w:r>
    </w:p>
    <w:p w14:paraId="4EE032A7"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Identificar riesgos operativos.</w:t>
      </w:r>
    </w:p>
    <w:p w14:paraId="0A040D5C"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Ejecutar controles.</w:t>
      </w:r>
    </w:p>
    <w:p w14:paraId="588129FC"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Mantener planes de emergencia.</w:t>
      </w:r>
    </w:p>
    <w:p w14:paraId="6E347EC9" w14:textId="77777777" w:rsidR="0055426C" w:rsidRPr="0055426C" w:rsidRDefault="0055426C" w:rsidP="0055426C">
      <w:pPr>
        <w:spacing w:after="0" w:line="240" w:lineRule="auto"/>
        <w:jc w:val="both"/>
        <w:rPr>
          <w:rFonts w:ascii="Arial" w:hAnsi="Arial" w:cs="Arial"/>
          <w:bCs/>
          <w:sz w:val="20"/>
          <w:szCs w:val="20"/>
          <w:lang w:val="pt-PT"/>
        </w:rPr>
      </w:pPr>
      <w:r w:rsidRPr="0055426C">
        <w:rPr>
          <w:rFonts w:ascii="Arial" w:hAnsi="Arial" w:cs="Arial"/>
          <w:bCs/>
          <w:sz w:val="20"/>
          <w:szCs w:val="20"/>
          <w:lang w:val="pt-PT"/>
        </w:rPr>
        <w:t>d) Reportar incidentes.</w:t>
      </w:r>
    </w:p>
    <w:p w14:paraId="6EF0E7D8" w14:textId="77777777" w:rsidR="0055426C" w:rsidRPr="0055426C" w:rsidRDefault="0055426C" w:rsidP="0055426C">
      <w:pPr>
        <w:spacing w:after="0" w:line="240" w:lineRule="auto"/>
        <w:jc w:val="both"/>
        <w:rPr>
          <w:rFonts w:ascii="Arial" w:hAnsi="Arial" w:cs="Arial"/>
          <w:bCs/>
          <w:sz w:val="20"/>
          <w:szCs w:val="20"/>
          <w:lang w:val="pt-PT"/>
        </w:rPr>
      </w:pPr>
      <w:r w:rsidRPr="0055426C">
        <w:rPr>
          <w:rFonts w:ascii="Arial" w:hAnsi="Arial" w:cs="Arial"/>
          <w:bCs/>
          <w:sz w:val="20"/>
          <w:szCs w:val="20"/>
          <w:lang w:val="pt-PT"/>
        </w:rPr>
        <w:t>e) Adoptar medidas preventivas.</w:t>
      </w:r>
    </w:p>
    <w:p w14:paraId="2AFB2901"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Mantener actualizados los protocolos de seguridad.</w:t>
      </w:r>
    </w:p>
    <w:p w14:paraId="0060D59F"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44.—</w:t>
      </w:r>
      <w:proofErr w:type="gramEnd"/>
      <w:r w:rsidRPr="0055426C">
        <w:rPr>
          <w:rFonts w:ascii="Arial" w:hAnsi="Arial" w:cs="Arial"/>
          <w:b/>
          <w:bCs/>
          <w:sz w:val="20"/>
          <w:szCs w:val="20"/>
        </w:rPr>
        <w:t xml:space="preserve">Inspección antes y después de eventos: </w:t>
      </w:r>
      <w:r w:rsidRPr="0055426C">
        <w:rPr>
          <w:rFonts w:ascii="Arial" w:hAnsi="Arial" w:cs="Arial"/>
          <w:bCs/>
          <w:sz w:val="20"/>
          <w:szCs w:val="20"/>
        </w:rPr>
        <w:t>Cuando exista uso exclusivo, extraordinario o intensivo se levantará acta antes y después de la actividad.</w:t>
      </w:r>
      <w:r w:rsidRPr="0055426C">
        <w:rPr>
          <w:rFonts w:ascii="Arial" w:hAnsi="Arial" w:cs="Arial"/>
          <w:b/>
          <w:bCs/>
          <w:sz w:val="20"/>
          <w:szCs w:val="20"/>
        </w:rPr>
        <w:t xml:space="preserve"> </w:t>
      </w:r>
      <w:r w:rsidRPr="0055426C">
        <w:rPr>
          <w:rFonts w:ascii="Arial" w:hAnsi="Arial" w:cs="Arial"/>
          <w:bCs/>
          <w:sz w:val="20"/>
          <w:szCs w:val="20"/>
        </w:rPr>
        <w:t>Cuando resulte procedente se incorporará evidencia fotográfica o documental.</w:t>
      </w:r>
      <w:r w:rsidRPr="0055426C">
        <w:rPr>
          <w:rFonts w:ascii="Arial" w:hAnsi="Arial" w:cs="Arial"/>
          <w:b/>
          <w:bCs/>
          <w:sz w:val="20"/>
          <w:szCs w:val="20"/>
        </w:rPr>
        <w:t xml:space="preserve"> </w:t>
      </w:r>
      <w:r w:rsidRPr="0055426C">
        <w:rPr>
          <w:rFonts w:ascii="Arial" w:hAnsi="Arial" w:cs="Arial"/>
          <w:bCs/>
          <w:sz w:val="20"/>
          <w:szCs w:val="20"/>
        </w:rPr>
        <w:t>Los daños serán comunicados al responsable, quien tendrá derecho a formular observaciones antes de determinarse su responsabilidad y cuantificación.</w:t>
      </w:r>
    </w:p>
    <w:p w14:paraId="1DEFE877"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45.—</w:t>
      </w:r>
      <w:proofErr w:type="gramEnd"/>
      <w:r w:rsidRPr="0055426C">
        <w:rPr>
          <w:rFonts w:ascii="Arial" w:hAnsi="Arial" w:cs="Arial"/>
          <w:b/>
          <w:bCs/>
          <w:sz w:val="20"/>
          <w:szCs w:val="20"/>
        </w:rPr>
        <w:t xml:space="preserve">Responsabilidad por daños: </w:t>
      </w:r>
      <w:r w:rsidRPr="0055426C">
        <w:rPr>
          <w:rFonts w:ascii="Arial" w:hAnsi="Arial" w:cs="Arial"/>
          <w:bCs/>
          <w:sz w:val="20"/>
          <w:szCs w:val="20"/>
        </w:rPr>
        <w:t>Toda persona física o jurídica responderá por los daños que le sean jurídicamente imputables.</w:t>
      </w:r>
    </w:p>
    <w:p w14:paraId="17B5DD7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reparación podrá hacerse efectiva mediante:</w:t>
      </w:r>
    </w:p>
    <w:p w14:paraId="36FD39D4"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Reparación voluntaria.</w:t>
      </w:r>
    </w:p>
    <w:p w14:paraId="2BA04492"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Ejecución de garantías.</w:t>
      </w:r>
    </w:p>
    <w:p w14:paraId="3E73649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Cobro conforme al convenio o contrato.</w:t>
      </w:r>
    </w:p>
    <w:p w14:paraId="6BE7B120"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lastRenderedPageBreak/>
        <w:t>d) Procedimiento administrativo.</w:t>
      </w:r>
    </w:p>
    <w:p w14:paraId="32830D84"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Acción judicial.</w:t>
      </w:r>
    </w:p>
    <w:p w14:paraId="68AA4237"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determinación de responsabilidad deberá respetar el debido proceso.</w:t>
      </w:r>
    </w:p>
    <w:p w14:paraId="66BB19D6"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TÍTULO X</w:t>
      </w:r>
    </w:p>
    <w:p w14:paraId="32DB0920"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INCUMPLIMIENTOS Y TERMINACIÓN DE LAS RELACIONES JURÍDICAS</w:t>
      </w:r>
    </w:p>
    <w:p w14:paraId="17F9D70F"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46.—</w:t>
      </w:r>
      <w:proofErr w:type="gramEnd"/>
      <w:r w:rsidRPr="0055426C">
        <w:rPr>
          <w:rFonts w:ascii="Arial" w:hAnsi="Arial" w:cs="Arial"/>
          <w:b/>
          <w:bCs/>
          <w:sz w:val="20"/>
          <w:szCs w:val="20"/>
        </w:rPr>
        <w:t xml:space="preserve">Incumplimientos: </w:t>
      </w:r>
      <w:r w:rsidRPr="0055426C">
        <w:rPr>
          <w:rFonts w:ascii="Arial" w:hAnsi="Arial" w:cs="Arial"/>
          <w:bCs/>
          <w:sz w:val="20"/>
          <w:szCs w:val="20"/>
        </w:rPr>
        <w:t>Los incumplimientos de permisos, convenios y contratos producirán exclusivamente las consecuencias previstas en la legislación y en el respectivo instrumento jurídico.</w:t>
      </w:r>
    </w:p>
    <w:p w14:paraId="66BC2A65"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47.—</w:t>
      </w:r>
      <w:proofErr w:type="gramEnd"/>
      <w:r w:rsidRPr="0055426C">
        <w:rPr>
          <w:rFonts w:ascii="Arial" w:hAnsi="Arial" w:cs="Arial"/>
          <w:b/>
          <w:bCs/>
          <w:sz w:val="20"/>
          <w:szCs w:val="20"/>
        </w:rPr>
        <w:t xml:space="preserve">Medidas ante incumplimientos: </w:t>
      </w:r>
      <w:r w:rsidRPr="0055426C">
        <w:rPr>
          <w:rFonts w:ascii="Arial" w:hAnsi="Arial" w:cs="Arial"/>
          <w:bCs/>
          <w:sz w:val="20"/>
          <w:szCs w:val="20"/>
        </w:rPr>
        <w:t>Según la naturaleza y gravedad del incumplimiento podrán adoptarse, cuando resulten jurídicamente procedentes:</w:t>
      </w:r>
    </w:p>
    <w:p w14:paraId="5BB35DA0"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Prevención para corregir el incumplimiento.</w:t>
      </w:r>
    </w:p>
    <w:p w14:paraId="0B1BA36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Requerimiento de información.</w:t>
      </w:r>
    </w:p>
    <w:p w14:paraId="3E58B648"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Suspensión de una actividad cuando exista riesgo para personas o bienes.</w:t>
      </w:r>
    </w:p>
    <w:p w14:paraId="6C55B867"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Revocación de un permiso precario.</w:t>
      </w:r>
    </w:p>
    <w:p w14:paraId="2F9035D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Terminación o resolución de un convenio.</w:t>
      </w:r>
    </w:p>
    <w:p w14:paraId="4A6F2F3C"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Aplicación de consecuencias contractuales válidamente pactadas.</w:t>
      </w:r>
    </w:p>
    <w:p w14:paraId="2673E35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 xml:space="preserve">g) Ejecución de garantías, multas o clausulas penales. </w:t>
      </w:r>
    </w:p>
    <w:p w14:paraId="46E66D6E"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h) Cobro de daños.</w:t>
      </w:r>
    </w:p>
    <w:p w14:paraId="1100FE77"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i) Remisión de hechos a las autoridades administrativas, judiciales, penales o de control competentes.</w:t>
      </w:r>
    </w:p>
    <w:p w14:paraId="6E2EC51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 xml:space="preserve">Toda medida deberá ser motivada, proporcional y cumplir con el debido proceso. </w:t>
      </w:r>
    </w:p>
    <w:p w14:paraId="134CD7FC"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48.—</w:t>
      </w:r>
      <w:proofErr w:type="gramEnd"/>
      <w:r w:rsidRPr="0055426C">
        <w:rPr>
          <w:rFonts w:ascii="Arial" w:hAnsi="Arial" w:cs="Arial"/>
          <w:b/>
          <w:bCs/>
          <w:sz w:val="20"/>
          <w:szCs w:val="20"/>
        </w:rPr>
        <w:t xml:space="preserve">Debido proceso: </w:t>
      </w:r>
      <w:r w:rsidRPr="0055426C">
        <w:rPr>
          <w:rFonts w:ascii="Arial" w:hAnsi="Arial" w:cs="Arial"/>
          <w:bCs/>
          <w:sz w:val="20"/>
          <w:szCs w:val="20"/>
        </w:rPr>
        <w:t>Cuando una actuación pueda afectar derechos o intereses legítimos deberá garantizarse el procedimiento correspondiente conforme a la Ley General de la Administración Pública, el Código Municipal y demás normativa aplicable.</w:t>
      </w:r>
      <w:r w:rsidRPr="0055426C">
        <w:rPr>
          <w:rFonts w:ascii="Arial" w:hAnsi="Arial" w:cs="Arial"/>
          <w:b/>
          <w:bCs/>
          <w:sz w:val="20"/>
          <w:szCs w:val="20"/>
        </w:rPr>
        <w:t xml:space="preserve"> </w:t>
      </w:r>
      <w:r w:rsidRPr="0055426C">
        <w:rPr>
          <w:rFonts w:ascii="Arial" w:hAnsi="Arial" w:cs="Arial"/>
          <w:bCs/>
          <w:sz w:val="20"/>
          <w:szCs w:val="20"/>
        </w:rPr>
        <w:t>La persona interesada tendrá derecho a conocer los hechos atribuidos, acceder al expediente, ofrecer prueba, formular alegaciones, obtener resolución motivada e interponer los recursos procedentes.</w:t>
      </w:r>
      <w:r w:rsidRPr="0055426C">
        <w:rPr>
          <w:rFonts w:ascii="Arial" w:hAnsi="Arial" w:cs="Arial"/>
          <w:b/>
          <w:bCs/>
          <w:sz w:val="20"/>
          <w:szCs w:val="20"/>
        </w:rPr>
        <w:t xml:space="preserve"> </w:t>
      </w:r>
      <w:r w:rsidRPr="0055426C">
        <w:rPr>
          <w:rFonts w:ascii="Arial" w:hAnsi="Arial" w:cs="Arial"/>
          <w:bCs/>
          <w:sz w:val="20"/>
          <w:szCs w:val="20"/>
        </w:rPr>
        <w:t>Las medidas provisionales o cautelares solo podrán adoptarse cuando sean necesarias, proporcionales y jurídicamente procedentes para proteger la seguridad, el patrimonio o la continuidad del servicio.</w:t>
      </w:r>
    </w:p>
    <w:p w14:paraId="06068823"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TÍTULO XI</w:t>
      </w:r>
    </w:p>
    <w:p w14:paraId="43A152EC"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TRANSPARENCIA Y PROTECCIÓN DE DATOS</w:t>
      </w:r>
    </w:p>
    <w:p w14:paraId="1EF70805"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49.—</w:t>
      </w:r>
      <w:proofErr w:type="gramEnd"/>
      <w:r w:rsidRPr="0055426C">
        <w:rPr>
          <w:rFonts w:ascii="Arial" w:hAnsi="Arial" w:cs="Arial"/>
          <w:b/>
          <w:bCs/>
          <w:sz w:val="20"/>
          <w:szCs w:val="20"/>
        </w:rPr>
        <w:t xml:space="preserve">Transparencia: </w:t>
      </w:r>
      <w:r w:rsidRPr="0055426C">
        <w:rPr>
          <w:rFonts w:ascii="Arial" w:hAnsi="Arial" w:cs="Arial"/>
          <w:bCs/>
          <w:sz w:val="20"/>
          <w:szCs w:val="20"/>
        </w:rPr>
        <w:t xml:space="preserve">salvo información legalmente protegida, deberán mantenerse disponible en el sitio web de la Municipalidad: </w:t>
      </w:r>
    </w:p>
    <w:p w14:paraId="05FB6AF5"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Reglamento vigente.</w:t>
      </w:r>
    </w:p>
    <w:p w14:paraId="1942E2E4"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Modelo de administración.</w:t>
      </w:r>
    </w:p>
    <w:p w14:paraId="36070CE9"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Convenios y contratos.</w:t>
      </w:r>
    </w:p>
    <w:p w14:paraId="47871671"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d) Tarifas, precios o importes vigentes.</w:t>
      </w:r>
    </w:p>
    <w:p w14:paraId="2474D80D"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e) Programación general.</w:t>
      </w:r>
    </w:p>
    <w:p w14:paraId="31912CE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f) Informes de gestión.</w:t>
      </w:r>
    </w:p>
    <w:p w14:paraId="2973C2DA"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g) Información sobre inversiones y mantenimiento.</w:t>
      </w:r>
    </w:p>
    <w:p w14:paraId="5906FC7C"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h) Procedimientos de selección o contratación.</w:t>
      </w:r>
    </w:p>
    <w:p w14:paraId="7C111256"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La información deberá publicarse dentro del mes calendario siguiente a su emisión, aprobación, suscripción, presentación o actualización, según corresponda. La dependencia municipal competente deberá garantizar su integridad, actualidad y fácil acceso.</w:t>
      </w:r>
    </w:p>
    <w:p w14:paraId="35F95FA9"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50.—</w:t>
      </w:r>
      <w:proofErr w:type="gramEnd"/>
      <w:r w:rsidRPr="0055426C">
        <w:rPr>
          <w:rFonts w:ascii="Arial" w:hAnsi="Arial" w:cs="Arial"/>
          <w:b/>
          <w:bCs/>
          <w:sz w:val="20"/>
          <w:szCs w:val="20"/>
        </w:rPr>
        <w:t xml:space="preserve">Protección de datos: </w:t>
      </w:r>
      <w:r w:rsidRPr="0055426C">
        <w:rPr>
          <w:rFonts w:ascii="Arial" w:hAnsi="Arial" w:cs="Arial"/>
          <w:bCs/>
          <w:sz w:val="20"/>
          <w:szCs w:val="20"/>
        </w:rPr>
        <w:t>El tratamiento y publicación de información personal deberá cumplir la legislación de protección de datos personales.</w:t>
      </w:r>
      <w:r w:rsidRPr="0055426C">
        <w:rPr>
          <w:rFonts w:ascii="Arial" w:hAnsi="Arial" w:cs="Arial"/>
          <w:b/>
          <w:bCs/>
          <w:sz w:val="20"/>
          <w:szCs w:val="20"/>
        </w:rPr>
        <w:t xml:space="preserve"> </w:t>
      </w:r>
      <w:r w:rsidRPr="0055426C">
        <w:rPr>
          <w:rFonts w:ascii="Arial" w:hAnsi="Arial" w:cs="Arial"/>
          <w:bCs/>
          <w:sz w:val="20"/>
          <w:szCs w:val="20"/>
        </w:rPr>
        <w:t>La transparencia no autoriza la divulgación irrestricta de datos sensibles, datos de personas menores de edad, información confidencial o información cuya reserva se encuentre establecida por ley.</w:t>
      </w:r>
    </w:p>
    <w:p w14:paraId="3AD797F5"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TÍTULO XII</w:t>
      </w:r>
    </w:p>
    <w:p w14:paraId="7BED695E"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DISPOSICIONES FINALES Y TRANSITORIAS</w:t>
      </w:r>
    </w:p>
    <w:p w14:paraId="5DF03368"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51.—</w:t>
      </w:r>
      <w:proofErr w:type="gramEnd"/>
      <w:r w:rsidRPr="0055426C">
        <w:rPr>
          <w:rFonts w:ascii="Arial" w:hAnsi="Arial" w:cs="Arial"/>
          <w:b/>
          <w:bCs/>
          <w:sz w:val="20"/>
          <w:szCs w:val="20"/>
        </w:rPr>
        <w:t xml:space="preserve">Interpretación de las figuras jurídicas: </w:t>
      </w:r>
      <w:r w:rsidRPr="0055426C">
        <w:rPr>
          <w:rFonts w:ascii="Arial" w:hAnsi="Arial" w:cs="Arial"/>
          <w:bCs/>
          <w:sz w:val="20"/>
          <w:szCs w:val="20"/>
        </w:rPr>
        <w:t>Ninguna disposición de este Reglamento podrá interpretarse en el sentido de autorizar:</w:t>
      </w:r>
    </w:p>
    <w:p w14:paraId="62F10B26"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a) La cesión del dominio del Estadio.</w:t>
      </w:r>
    </w:p>
    <w:p w14:paraId="54459FFF"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b) La desnaturalización de su destino público.</w:t>
      </w:r>
    </w:p>
    <w:p w14:paraId="0E17E8C2"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Cs/>
          <w:sz w:val="20"/>
          <w:szCs w:val="20"/>
        </w:rPr>
        <w:t>c) La subdelegación permanente de la administración sin autorización.</w:t>
      </w:r>
    </w:p>
    <w:p w14:paraId="46491C43" w14:textId="77777777" w:rsidR="0055426C" w:rsidRPr="0055426C" w:rsidRDefault="0055426C" w:rsidP="0055426C">
      <w:pPr>
        <w:spacing w:after="0" w:line="240" w:lineRule="auto"/>
        <w:jc w:val="both"/>
        <w:rPr>
          <w:rFonts w:ascii="Arial" w:hAnsi="Arial" w:cs="Arial"/>
          <w:bCs/>
          <w:sz w:val="20"/>
          <w:szCs w:val="20"/>
        </w:rPr>
      </w:pPr>
      <w:r w:rsidRPr="0055426C">
        <w:rPr>
          <w:rFonts w:ascii="Arial" w:hAnsi="Arial" w:cs="Arial"/>
          <w:b/>
          <w:bCs/>
          <w:sz w:val="20"/>
          <w:szCs w:val="20"/>
        </w:rPr>
        <w:t xml:space="preserve">Artículo </w:t>
      </w:r>
      <w:proofErr w:type="gramStart"/>
      <w:r w:rsidRPr="0055426C">
        <w:rPr>
          <w:rFonts w:ascii="Arial" w:hAnsi="Arial" w:cs="Arial"/>
          <w:b/>
          <w:bCs/>
          <w:sz w:val="20"/>
          <w:szCs w:val="20"/>
        </w:rPr>
        <w:t>52.—</w:t>
      </w:r>
      <w:proofErr w:type="gramEnd"/>
      <w:r w:rsidRPr="0055426C">
        <w:rPr>
          <w:rFonts w:ascii="Arial" w:hAnsi="Arial" w:cs="Arial"/>
          <w:b/>
          <w:bCs/>
          <w:sz w:val="20"/>
          <w:szCs w:val="20"/>
        </w:rPr>
        <w:t xml:space="preserve">Derogación: </w:t>
      </w:r>
      <w:r w:rsidRPr="0055426C">
        <w:rPr>
          <w:rFonts w:ascii="Arial" w:hAnsi="Arial" w:cs="Arial"/>
          <w:bCs/>
          <w:sz w:val="20"/>
          <w:szCs w:val="20"/>
        </w:rPr>
        <w:t xml:space="preserve">Queda derogado el Reglamento de Administración y Uso del Estadio Municipal José Joaquín “Colleya” Fonseca anteriormente vigente, así como cualquier disposición </w:t>
      </w:r>
      <w:r w:rsidRPr="0055426C">
        <w:rPr>
          <w:rFonts w:ascii="Arial" w:hAnsi="Arial" w:cs="Arial"/>
          <w:bCs/>
          <w:sz w:val="20"/>
          <w:szCs w:val="20"/>
        </w:rPr>
        <w:lastRenderedPageBreak/>
        <w:t>reglamentaria de igual o inferior rango que se oponga específicamente a este Reglamento respecto del Estadio. La derogación no afectará actos, permisos, convenios o contratos válidamente constituidos con anterioridad, los cuales se sujetarán a sus términos y al ordenamiento jurídico aplicable, sin perjuicio de las potestades de fiscalización, modificación o terminación que legalmente correspondan.</w:t>
      </w:r>
    </w:p>
    <w:p w14:paraId="7DCE229C"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Artículo 53—Vigencia: </w:t>
      </w:r>
      <w:r w:rsidRPr="0055426C">
        <w:rPr>
          <w:rFonts w:ascii="Arial" w:hAnsi="Arial" w:cs="Arial"/>
          <w:bCs/>
          <w:sz w:val="20"/>
          <w:szCs w:val="20"/>
        </w:rPr>
        <w:t>El presente Reglamento entrará en vigencia después de su publicación definitiva en el Diario Oficial La Gaceta, conforme al procedimiento establecido en el Código Municipal.</w:t>
      </w:r>
    </w:p>
    <w:p w14:paraId="6812A691"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Transitorio I: </w:t>
      </w:r>
      <w:r w:rsidRPr="0055426C">
        <w:rPr>
          <w:rFonts w:ascii="Arial" w:hAnsi="Arial" w:cs="Arial"/>
          <w:bCs/>
          <w:sz w:val="20"/>
          <w:szCs w:val="20"/>
        </w:rPr>
        <w:t>Dentro de los tres meses siguientes a la entrada en vigencia de este Reglamento, la Administración Municipal deberá levantar o actualizar el inventario integral del Estadio, incluyendo infraestructura, bienes muebles, estado de conservación y necesidades prioritarias de mantenimiento.</w:t>
      </w:r>
    </w:p>
    <w:p w14:paraId="2E8CF818" w14:textId="77777777" w:rsidR="0055426C" w:rsidRPr="0055426C" w:rsidRDefault="0055426C" w:rsidP="0055426C">
      <w:pPr>
        <w:spacing w:after="0" w:line="240" w:lineRule="auto"/>
        <w:jc w:val="both"/>
        <w:rPr>
          <w:rFonts w:ascii="Arial" w:hAnsi="Arial" w:cs="Arial"/>
          <w:b/>
          <w:bCs/>
          <w:sz w:val="20"/>
          <w:szCs w:val="20"/>
        </w:rPr>
      </w:pPr>
      <w:r w:rsidRPr="0055426C">
        <w:rPr>
          <w:rFonts w:ascii="Arial" w:hAnsi="Arial" w:cs="Arial"/>
          <w:b/>
          <w:bCs/>
          <w:sz w:val="20"/>
          <w:szCs w:val="20"/>
        </w:rPr>
        <w:t xml:space="preserve">Transitorio II: </w:t>
      </w:r>
      <w:r w:rsidRPr="0055426C">
        <w:rPr>
          <w:rFonts w:ascii="Arial" w:hAnsi="Arial" w:cs="Arial"/>
          <w:bCs/>
          <w:sz w:val="20"/>
          <w:szCs w:val="20"/>
        </w:rPr>
        <w:t>Dentro de los tres meses siguientes a la entrada en vigencia de este Reglamento,</w:t>
      </w:r>
      <w:r w:rsidRPr="0055426C">
        <w:rPr>
          <w:rFonts w:ascii="Arial" w:hAnsi="Arial" w:cs="Arial"/>
          <w:b/>
          <w:bCs/>
          <w:sz w:val="20"/>
          <w:szCs w:val="20"/>
        </w:rPr>
        <w:t xml:space="preserve"> </w:t>
      </w:r>
      <w:r w:rsidRPr="0055426C">
        <w:rPr>
          <w:rFonts w:ascii="Arial" w:hAnsi="Arial" w:cs="Arial"/>
          <w:bCs/>
          <w:sz w:val="20"/>
          <w:szCs w:val="20"/>
        </w:rPr>
        <w:t>la Administración deberá revisar los convenios, permisos, autorizaciones y contratos vigentes relacionados con el Estadio, informar los plazos por los cuales se mantienen vigentes, la entrada en vigencia de este Reglamento no implicará por sí sola la terminación anticipada de relaciones jurídicas constituidas bajo la normativa anterior.</w:t>
      </w:r>
    </w:p>
    <w:p w14:paraId="71168E60" w14:textId="77777777" w:rsidR="0055426C" w:rsidRPr="0055426C" w:rsidRDefault="0055426C" w:rsidP="0055426C">
      <w:pPr>
        <w:spacing w:after="0" w:line="240" w:lineRule="auto"/>
        <w:jc w:val="both"/>
        <w:rPr>
          <w:rFonts w:ascii="Arial" w:hAnsi="Arial" w:cs="Arial"/>
          <w:bCs/>
          <w:sz w:val="20"/>
          <w:szCs w:val="20"/>
        </w:rPr>
      </w:pPr>
    </w:p>
    <w:p w14:paraId="7F0FA971" w14:textId="77777777" w:rsidR="0055426C" w:rsidRPr="0055426C" w:rsidRDefault="0055426C" w:rsidP="00E960C3">
      <w:pPr>
        <w:spacing w:after="0" w:line="240" w:lineRule="auto"/>
        <w:jc w:val="both"/>
        <w:rPr>
          <w:rFonts w:ascii="Arial" w:hAnsi="Arial" w:cs="Arial"/>
          <w:sz w:val="20"/>
          <w:szCs w:val="20"/>
        </w:rPr>
      </w:pPr>
    </w:p>
    <w:p w14:paraId="1293E3A3" w14:textId="77777777" w:rsidR="00E960C3" w:rsidRPr="0055426C" w:rsidRDefault="00E960C3" w:rsidP="00E960C3">
      <w:pPr>
        <w:spacing w:after="0" w:line="240" w:lineRule="auto"/>
        <w:jc w:val="both"/>
        <w:rPr>
          <w:rFonts w:ascii="Arial" w:hAnsi="Arial" w:cs="Arial"/>
          <w:sz w:val="20"/>
          <w:szCs w:val="20"/>
        </w:rPr>
      </w:pPr>
    </w:p>
    <w:p w14:paraId="61FF94BA" w14:textId="1834EFBE" w:rsidR="000D0511" w:rsidRPr="003642AD" w:rsidRDefault="003642AD" w:rsidP="003642AD">
      <w:pPr>
        <w:spacing w:after="0" w:line="240" w:lineRule="auto"/>
        <w:jc w:val="center"/>
        <w:rPr>
          <w:rFonts w:ascii="Arial" w:hAnsi="Arial" w:cs="Arial"/>
          <w:b/>
          <w:bCs/>
          <w:sz w:val="20"/>
          <w:szCs w:val="20"/>
        </w:rPr>
      </w:pPr>
      <w:r w:rsidRPr="003642AD">
        <w:rPr>
          <w:rFonts w:ascii="Arial" w:hAnsi="Arial" w:cs="Arial"/>
          <w:b/>
          <w:bCs/>
          <w:sz w:val="20"/>
          <w:szCs w:val="20"/>
        </w:rPr>
        <w:t xml:space="preserve">Publicado en el </w:t>
      </w:r>
      <w:r w:rsidRPr="003642AD">
        <w:rPr>
          <w:rFonts w:ascii="Arial" w:hAnsi="Arial" w:cs="Arial"/>
          <w:b/>
          <w:bCs/>
          <w:sz w:val="18"/>
          <w:szCs w:val="18"/>
        </w:rPr>
        <w:t xml:space="preserve">Alcance </w:t>
      </w:r>
      <w:proofErr w:type="spellStart"/>
      <w:r w:rsidRPr="003642AD">
        <w:rPr>
          <w:rFonts w:ascii="Arial" w:hAnsi="Arial" w:cs="Arial"/>
          <w:b/>
          <w:bCs/>
          <w:sz w:val="18"/>
          <w:szCs w:val="18"/>
        </w:rPr>
        <w:t>N°</w:t>
      </w:r>
      <w:proofErr w:type="spellEnd"/>
      <w:r w:rsidRPr="003642AD">
        <w:rPr>
          <w:rFonts w:ascii="Arial" w:hAnsi="Arial" w:cs="Arial"/>
          <w:b/>
          <w:bCs/>
          <w:sz w:val="18"/>
          <w:szCs w:val="18"/>
        </w:rPr>
        <w:t xml:space="preserve"> 124 a La Gaceta N°174, fechada 16 de setiembre de 2026</w:t>
      </w:r>
      <w:r w:rsidRPr="003642AD">
        <w:rPr>
          <w:rFonts w:ascii="Arial" w:hAnsi="Arial" w:cs="Arial"/>
          <w:b/>
          <w:bCs/>
          <w:sz w:val="18"/>
          <w:szCs w:val="18"/>
        </w:rPr>
        <w:t>.</w:t>
      </w:r>
    </w:p>
    <w:sectPr w:rsidR="000D0511" w:rsidRPr="003642A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90706"/>
    <w:multiLevelType w:val="multilevel"/>
    <w:tmpl w:val="66F2E6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259B4"/>
    <w:multiLevelType w:val="hybridMultilevel"/>
    <w:tmpl w:val="72DCED58"/>
    <w:lvl w:ilvl="0" w:tplc="9F82CDE6">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2" w15:restartNumberingAfterBreak="0">
    <w:nsid w:val="21446DA6"/>
    <w:multiLevelType w:val="hybridMultilevel"/>
    <w:tmpl w:val="98A2FF78"/>
    <w:lvl w:ilvl="0" w:tplc="0C0A000F">
      <w:start w:val="1"/>
      <w:numFmt w:val="decimal"/>
      <w:lvlText w:val="%1."/>
      <w:lvlJc w:val="left"/>
      <w:pPr>
        <w:ind w:left="1068" w:hanging="360"/>
      </w:pPr>
    </w:lvl>
    <w:lvl w:ilvl="1" w:tplc="0C0A0019">
      <w:start w:val="1"/>
      <w:numFmt w:val="lowerLetter"/>
      <w:lvlText w:val="%2."/>
      <w:lvlJc w:val="left"/>
      <w:pPr>
        <w:ind w:left="1788" w:hanging="360"/>
      </w:pPr>
    </w:lvl>
    <w:lvl w:ilvl="2" w:tplc="0C0A001B">
      <w:start w:val="1"/>
      <w:numFmt w:val="lowerRoman"/>
      <w:lvlText w:val="%3."/>
      <w:lvlJc w:val="right"/>
      <w:pPr>
        <w:ind w:left="2508" w:hanging="180"/>
      </w:pPr>
    </w:lvl>
    <w:lvl w:ilvl="3" w:tplc="0C0A000F">
      <w:start w:val="1"/>
      <w:numFmt w:val="decimal"/>
      <w:lvlText w:val="%4."/>
      <w:lvlJc w:val="left"/>
      <w:pPr>
        <w:ind w:left="3228" w:hanging="360"/>
      </w:pPr>
    </w:lvl>
    <w:lvl w:ilvl="4" w:tplc="0C0A0019">
      <w:start w:val="1"/>
      <w:numFmt w:val="lowerLetter"/>
      <w:lvlText w:val="%5."/>
      <w:lvlJc w:val="left"/>
      <w:pPr>
        <w:ind w:left="3948" w:hanging="360"/>
      </w:pPr>
    </w:lvl>
    <w:lvl w:ilvl="5" w:tplc="0C0A001B">
      <w:start w:val="1"/>
      <w:numFmt w:val="lowerRoman"/>
      <w:lvlText w:val="%6."/>
      <w:lvlJc w:val="right"/>
      <w:pPr>
        <w:ind w:left="4668" w:hanging="180"/>
      </w:pPr>
    </w:lvl>
    <w:lvl w:ilvl="6" w:tplc="0C0A000F">
      <w:start w:val="1"/>
      <w:numFmt w:val="decimal"/>
      <w:lvlText w:val="%7."/>
      <w:lvlJc w:val="left"/>
      <w:pPr>
        <w:ind w:left="5388" w:hanging="360"/>
      </w:pPr>
    </w:lvl>
    <w:lvl w:ilvl="7" w:tplc="0C0A0019">
      <w:start w:val="1"/>
      <w:numFmt w:val="lowerLetter"/>
      <w:lvlText w:val="%8."/>
      <w:lvlJc w:val="left"/>
      <w:pPr>
        <w:ind w:left="6108" w:hanging="360"/>
      </w:pPr>
    </w:lvl>
    <w:lvl w:ilvl="8" w:tplc="0C0A001B">
      <w:start w:val="1"/>
      <w:numFmt w:val="lowerRoman"/>
      <w:lvlText w:val="%9."/>
      <w:lvlJc w:val="right"/>
      <w:pPr>
        <w:ind w:left="6828" w:hanging="180"/>
      </w:pPr>
    </w:lvl>
  </w:abstractNum>
  <w:abstractNum w:abstractNumId="3" w15:restartNumberingAfterBreak="0">
    <w:nsid w:val="281F5C9C"/>
    <w:multiLevelType w:val="multilevel"/>
    <w:tmpl w:val="3858E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185253"/>
    <w:multiLevelType w:val="hybridMultilevel"/>
    <w:tmpl w:val="9C643FA0"/>
    <w:lvl w:ilvl="0" w:tplc="140A0001">
      <w:start w:val="1"/>
      <w:numFmt w:val="bullet"/>
      <w:lvlText w:val=""/>
      <w:lvlJc w:val="left"/>
      <w:pPr>
        <w:ind w:left="1440" w:hanging="360"/>
      </w:pPr>
      <w:rPr>
        <w:rFonts w:ascii="Symbol" w:hAnsi="Symbol" w:hint="default"/>
      </w:rPr>
    </w:lvl>
    <w:lvl w:ilvl="1" w:tplc="140A0003">
      <w:start w:val="1"/>
      <w:numFmt w:val="bullet"/>
      <w:lvlText w:val="o"/>
      <w:lvlJc w:val="left"/>
      <w:pPr>
        <w:ind w:left="2160" w:hanging="360"/>
      </w:pPr>
      <w:rPr>
        <w:rFonts w:ascii="Courier New" w:hAnsi="Courier New" w:cs="Courier New" w:hint="default"/>
      </w:rPr>
    </w:lvl>
    <w:lvl w:ilvl="2" w:tplc="140A0005">
      <w:start w:val="1"/>
      <w:numFmt w:val="bullet"/>
      <w:lvlText w:val=""/>
      <w:lvlJc w:val="left"/>
      <w:pPr>
        <w:ind w:left="2880" w:hanging="360"/>
      </w:pPr>
      <w:rPr>
        <w:rFonts w:ascii="Wingdings" w:hAnsi="Wingdings" w:hint="default"/>
      </w:rPr>
    </w:lvl>
    <w:lvl w:ilvl="3" w:tplc="140A0001">
      <w:start w:val="1"/>
      <w:numFmt w:val="bullet"/>
      <w:lvlText w:val=""/>
      <w:lvlJc w:val="left"/>
      <w:pPr>
        <w:ind w:left="3600" w:hanging="360"/>
      </w:pPr>
      <w:rPr>
        <w:rFonts w:ascii="Symbol" w:hAnsi="Symbol" w:hint="default"/>
      </w:rPr>
    </w:lvl>
    <w:lvl w:ilvl="4" w:tplc="140A0003">
      <w:start w:val="1"/>
      <w:numFmt w:val="bullet"/>
      <w:lvlText w:val="o"/>
      <w:lvlJc w:val="left"/>
      <w:pPr>
        <w:ind w:left="4320" w:hanging="360"/>
      </w:pPr>
      <w:rPr>
        <w:rFonts w:ascii="Courier New" w:hAnsi="Courier New" w:cs="Courier New" w:hint="default"/>
      </w:rPr>
    </w:lvl>
    <w:lvl w:ilvl="5" w:tplc="140A0005">
      <w:start w:val="1"/>
      <w:numFmt w:val="bullet"/>
      <w:lvlText w:val=""/>
      <w:lvlJc w:val="left"/>
      <w:pPr>
        <w:ind w:left="5040" w:hanging="360"/>
      </w:pPr>
      <w:rPr>
        <w:rFonts w:ascii="Wingdings" w:hAnsi="Wingdings" w:hint="default"/>
      </w:rPr>
    </w:lvl>
    <w:lvl w:ilvl="6" w:tplc="140A0001">
      <w:start w:val="1"/>
      <w:numFmt w:val="bullet"/>
      <w:lvlText w:val=""/>
      <w:lvlJc w:val="left"/>
      <w:pPr>
        <w:ind w:left="5760" w:hanging="360"/>
      </w:pPr>
      <w:rPr>
        <w:rFonts w:ascii="Symbol" w:hAnsi="Symbol" w:hint="default"/>
      </w:rPr>
    </w:lvl>
    <w:lvl w:ilvl="7" w:tplc="140A0003">
      <w:start w:val="1"/>
      <w:numFmt w:val="bullet"/>
      <w:lvlText w:val="o"/>
      <w:lvlJc w:val="left"/>
      <w:pPr>
        <w:ind w:left="6480" w:hanging="360"/>
      </w:pPr>
      <w:rPr>
        <w:rFonts w:ascii="Courier New" w:hAnsi="Courier New" w:cs="Courier New" w:hint="default"/>
      </w:rPr>
    </w:lvl>
    <w:lvl w:ilvl="8" w:tplc="140A0005">
      <w:start w:val="1"/>
      <w:numFmt w:val="bullet"/>
      <w:lvlText w:val=""/>
      <w:lvlJc w:val="left"/>
      <w:pPr>
        <w:ind w:left="7200" w:hanging="360"/>
      </w:pPr>
      <w:rPr>
        <w:rFonts w:ascii="Wingdings" w:hAnsi="Wingdings" w:hint="default"/>
      </w:rPr>
    </w:lvl>
  </w:abstractNum>
  <w:abstractNum w:abstractNumId="5" w15:restartNumberingAfterBreak="0">
    <w:nsid w:val="5BBA2A65"/>
    <w:multiLevelType w:val="hybridMultilevel"/>
    <w:tmpl w:val="86003BB0"/>
    <w:lvl w:ilvl="0" w:tplc="7F9CE15E">
      <w:start w:val="1"/>
      <w:numFmt w:val="ordinal"/>
      <w:lvlText w:val="%1."/>
      <w:lvlJc w:val="left"/>
      <w:pPr>
        <w:ind w:left="360" w:hanging="360"/>
      </w:pPr>
      <w:rPr>
        <w:rFonts w:hint="default"/>
      </w:rPr>
    </w:lvl>
    <w:lvl w:ilvl="1" w:tplc="140A0019">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6" w15:restartNumberingAfterBreak="0">
    <w:nsid w:val="6D5A59C2"/>
    <w:multiLevelType w:val="hybridMultilevel"/>
    <w:tmpl w:val="FFFFFFFF"/>
    <w:lvl w:ilvl="0" w:tplc="140A0017">
      <w:start w:val="1"/>
      <w:numFmt w:val="lowerLetter"/>
      <w:lvlText w:val="%1)"/>
      <w:lvlJc w:val="left"/>
      <w:pPr>
        <w:ind w:left="720" w:hanging="360"/>
      </w:pPr>
      <w:rPr>
        <w:rFonts w:cs="Times New Roman"/>
      </w:rPr>
    </w:lvl>
    <w:lvl w:ilvl="1" w:tplc="140A0019">
      <w:start w:val="1"/>
      <w:numFmt w:val="lowerLetter"/>
      <w:lvlText w:val="%2."/>
      <w:lvlJc w:val="left"/>
      <w:pPr>
        <w:ind w:left="1440" w:hanging="360"/>
      </w:pPr>
      <w:rPr>
        <w:rFonts w:cs="Times New Roman"/>
      </w:rPr>
    </w:lvl>
    <w:lvl w:ilvl="2" w:tplc="140A001B">
      <w:start w:val="1"/>
      <w:numFmt w:val="lowerRoman"/>
      <w:lvlText w:val="%3."/>
      <w:lvlJc w:val="right"/>
      <w:pPr>
        <w:ind w:left="2160" w:hanging="180"/>
      </w:pPr>
      <w:rPr>
        <w:rFonts w:cs="Times New Roman"/>
      </w:rPr>
    </w:lvl>
    <w:lvl w:ilvl="3" w:tplc="140A000F">
      <w:start w:val="1"/>
      <w:numFmt w:val="decimal"/>
      <w:lvlText w:val="%4."/>
      <w:lvlJc w:val="left"/>
      <w:pPr>
        <w:ind w:left="2880" w:hanging="360"/>
      </w:pPr>
      <w:rPr>
        <w:rFonts w:cs="Times New Roman"/>
      </w:rPr>
    </w:lvl>
    <w:lvl w:ilvl="4" w:tplc="140A0019">
      <w:start w:val="1"/>
      <w:numFmt w:val="lowerLetter"/>
      <w:lvlText w:val="%5."/>
      <w:lvlJc w:val="left"/>
      <w:pPr>
        <w:ind w:left="3600" w:hanging="360"/>
      </w:pPr>
      <w:rPr>
        <w:rFonts w:cs="Times New Roman"/>
      </w:rPr>
    </w:lvl>
    <w:lvl w:ilvl="5" w:tplc="140A001B">
      <w:start w:val="1"/>
      <w:numFmt w:val="lowerRoman"/>
      <w:lvlText w:val="%6."/>
      <w:lvlJc w:val="right"/>
      <w:pPr>
        <w:ind w:left="4320" w:hanging="180"/>
      </w:pPr>
      <w:rPr>
        <w:rFonts w:cs="Times New Roman"/>
      </w:rPr>
    </w:lvl>
    <w:lvl w:ilvl="6" w:tplc="140A000F">
      <w:start w:val="1"/>
      <w:numFmt w:val="decimal"/>
      <w:lvlText w:val="%7."/>
      <w:lvlJc w:val="left"/>
      <w:pPr>
        <w:ind w:left="5040" w:hanging="360"/>
      </w:pPr>
      <w:rPr>
        <w:rFonts w:cs="Times New Roman"/>
      </w:rPr>
    </w:lvl>
    <w:lvl w:ilvl="7" w:tplc="140A0019">
      <w:start w:val="1"/>
      <w:numFmt w:val="lowerLetter"/>
      <w:lvlText w:val="%8."/>
      <w:lvlJc w:val="left"/>
      <w:pPr>
        <w:ind w:left="5760" w:hanging="360"/>
      </w:pPr>
      <w:rPr>
        <w:rFonts w:cs="Times New Roman"/>
      </w:rPr>
    </w:lvl>
    <w:lvl w:ilvl="8" w:tplc="140A001B">
      <w:start w:val="1"/>
      <w:numFmt w:val="lowerRoman"/>
      <w:lvlText w:val="%9."/>
      <w:lvlJc w:val="right"/>
      <w:pPr>
        <w:ind w:left="6480" w:hanging="180"/>
      </w:pPr>
      <w:rPr>
        <w:rFonts w:cs="Times New Roman"/>
      </w:rPr>
    </w:lvl>
  </w:abstractNum>
  <w:num w:numId="1" w16cid:durableId="1373576582">
    <w:abstractNumId w:val="4"/>
  </w:num>
  <w:num w:numId="2" w16cid:durableId="21033346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97090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00833715">
    <w:abstractNumId w:val="3"/>
  </w:num>
  <w:num w:numId="5" w16cid:durableId="1008026220">
    <w:abstractNumId w:val="0"/>
  </w:num>
  <w:num w:numId="6" w16cid:durableId="16507433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48190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377"/>
    <w:rsid w:val="000127C4"/>
    <w:rsid w:val="000370FD"/>
    <w:rsid w:val="0004406D"/>
    <w:rsid w:val="00061121"/>
    <w:rsid w:val="000D0511"/>
    <w:rsid w:val="00187E06"/>
    <w:rsid w:val="002A7384"/>
    <w:rsid w:val="00331A7E"/>
    <w:rsid w:val="003642AD"/>
    <w:rsid w:val="003F1992"/>
    <w:rsid w:val="004619D8"/>
    <w:rsid w:val="00464F18"/>
    <w:rsid w:val="0055426C"/>
    <w:rsid w:val="00602936"/>
    <w:rsid w:val="006C054B"/>
    <w:rsid w:val="006E26EB"/>
    <w:rsid w:val="00720B08"/>
    <w:rsid w:val="007518D8"/>
    <w:rsid w:val="00774E8C"/>
    <w:rsid w:val="00794817"/>
    <w:rsid w:val="007B6037"/>
    <w:rsid w:val="00AA4CE9"/>
    <w:rsid w:val="00AC6ACF"/>
    <w:rsid w:val="00B138B9"/>
    <w:rsid w:val="00BE398A"/>
    <w:rsid w:val="00D94714"/>
    <w:rsid w:val="00E960C3"/>
    <w:rsid w:val="00F9137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E456C"/>
  <w15:chartTrackingRefBased/>
  <w15:docId w15:val="{4947386F-3F7E-4CDA-AACB-D3C286A82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992"/>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3F1992"/>
    <w:pPr>
      <w:widowControl w:val="0"/>
      <w:autoSpaceDE w:val="0"/>
      <w:autoSpaceDN w:val="0"/>
      <w:spacing w:after="0" w:line="240" w:lineRule="auto"/>
    </w:pPr>
    <w:rPr>
      <w:rFonts w:ascii="Arial" w:eastAsia="Arial" w:hAnsi="Arial" w:cs="Arial"/>
      <w:b/>
      <w:bCs/>
      <w:sz w:val="30"/>
      <w:szCs w:val="30"/>
      <w:lang w:val="en-US"/>
    </w:rPr>
  </w:style>
  <w:style w:type="character" w:customStyle="1" w:styleId="TextoindependienteCar">
    <w:name w:val="Texto independiente Car"/>
    <w:basedOn w:val="Fuentedeprrafopredeter"/>
    <w:link w:val="Textoindependiente"/>
    <w:uiPriority w:val="1"/>
    <w:rsid w:val="003F1992"/>
    <w:rPr>
      <w:rFonts w:ascii="Arial" w:eastAsia="Arial" w:hAnsi="Arial" w:cs="Arial"/>
      <w:b/>
      <w:bCs/>
      <w:sz w:val="30"/>
      <w:szCs w:val="30"/>
      <w:lang w:val="en-US"/>
    </w:rPr>
  </w:style>
  <w:style w:type="character" w:styleId="Hipervnculo">
    <w:name w:val="Hyperlink"/>
    <w:basedOn w:val="Fuentedeprrafopredeter"/>
    <w:uiPriority w:val="99"/>
    <w:unhideWhenUsed/>
    <w:rsid w:val="00061121"/>
    <w:rPr>
      <w:color w:val="0563C1" w:themeColor="hyperlink"/>
      <w:u w:val="single"/>
    </w:rPr>
  </w:style>
  <w:style w:type="paragraph" w:styleId="Prrafodelista">
    <w:name w:val="List Paragraph"/>
    <w:aliases w:val="Bullet 1,Use Case List Paragraph"/>
    <w:basedOn w:val="Normal"/>
    <w:link w:val="PrrafodelistaCar"/>
    <w:uiPriority w:val="34"/>
    <w:qFormat/>
    <w:rsid w:val="00464F18"/>
    <w:pPr>
      <w:suppressAutoHyphens/>
      <w:spacing w:after="0" w:line="240" w:lineRule="auto"/>
      <w:ind w:left="720"/>
      <w:contextualSpacing/>
    </w:pPr>
    <w:rPr>
      <w:rFonts w:ascii="Times New Roman" w:eastAsia="Times New Roman" w:hAnsi="Times New Roman" w:cs="Times New Roman"/>
      <w:kern w:val="1"/>
      <w:sz w:val="24"/>
      <w:szCs w:val="24"/>
      <w:lang w:val="es-ES_tradnl" w:eastAsia="ar-SA"/>
    </w:rPr>
  </w:style>
  <w:style w:type="character" w:customStyle="1" w:styleId="PrrafodelistaCar">
    <w:name w:val="Párrafo de lista Car"/>
    <w:aliases w:val="Bullet 1 Car,Use Case List Paragraph Car"/>
    <w:basedOn w:val="Fuentedeprrafopredeter"/>
    <w:link w:val="Prrafodelista"/>
    <w:uiPriority w:val="34"/>
    <w:locked/>
    <w:rsid w:val="00464F18"/>
    <w:rPr>
      <w:rFonts w:ascii="Times New Roman" w:eastAsia="Times New Roman" w:hAnsi="Times New Roman" w:cs="Times New Roman"/>
      <w:kern w:val="1"/>
      <w:sz w:val="24"/>
      <w:szCs w:val="24"/>
      <w:lang w:val="es-ES_tradnl" w:eastAsia="ar-SA"/>
    </w:rPr>
  </w:style>
  <w:style w:type="table" w:styleId="Tablaconcuadrcula">
    <w:name w:val="Table Grid"/>
    <w:basedOn w:val="Tablanormal"/>
    <w:uiPriority w:val="59"/>
    <w:rsid w:val="004619D8"/>
    <w:pPr>
      <w:spacing w:after="0" w:line="240" w:lineRule="auto"/>
    </w:pPr>
    <w:rPr>
      <w:lang w:val="es-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013010">
      <w:bodyDiv w:val="1"/>
      <w:marLeft w:val="0"/>
      <w:marRight w:val="0"/>
      <w:marTop w:val="0"/>
      <w:marBottom w:val="0"/>
      <w:divBdr>
        <w:top w:val="none" w:sz="0" w:space="0" w:color="auto"/>
        <w:left w:val="none" w:sz="0" w:space="0" w:color="auto"/>
        <w:bottom w:val="none" w:sz="0" w:space="0" w:color="auto"/>
        <w:right w:val="none" w:sz="0" w:space="0" w:color="auto"/>
      </w:divBdr>
    </w:div>
    <w:div w:id="1157039931">
      <w:bodyDiv w:val="1"/>
      <w:marLeft w:val="0"/>
      <w:marRight w:val="0"/>
      <w:marTop w:val="0"/>
      <w:marBottom w:val="0"/>
      <w:divBdr>
        <w:top w:val="none" w:sz="0" w:space="0" w:color="auto"/>
        <w:left w:val="none" w:sz="0" w:space="0" w:color="auto"/>
        <w:bottom w:val="none" w:sz="0" w:space="0" w:color="auto"/>
        <w:right w:val="none" w:sz="0" w:space="0" w:color="auto"/>
      </w:divBdr>
    </w:div>
    <w:div w:id="140930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6404</Words>
  <Characters>35226</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MUNICIPAL SECRE</dc:creator>
  <cp:keywords/>
  <dc:description/>
  <cp:lastModifiedBy>Joselyn Mora</cp:lastModifiedBy>
  <cp:revision>9</cp:revision>
  <cp:lastPrinted>2026-08-18T17:25:00Z</cp:lastPrinted>
  <dcterms:created xsi:type="dcterms:W3CDTF">2026-08-12T14:09:00Z</dcterms:created>
  <dcterms:modified xsi:type="dcterms:W3CDTF">2026-10-06T16:57:00Z</dcterms:modified>
</cp:coreProperties>
</file>